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i w:val="0"/>
          <w:caps w:val="0"/>
          <w:color w:val="595959"/>
          <w:spacing w:val="0"/>
          <w:sz w:val="44"/>
          <w:szCs w:val="44"/>
          <w:shd w:val="clear" w:fill="FFFFFF"/>
        </w:rPr>
      </w:pPr>
      <w:r>
        <w:rPr>
          <w:rFonts w:hint="eastAsia" w:ascii="微软雅黑" w:hAnsi="微软雅黑" w:eastAsia="微软雅黑" w:cs="微软雅黑"/>
          <w:i w:val="0"/>
          <w:caps w:val="0"/>
          <w:color w:val="595959"/>
          <w:spacing w:val="0"/>
          <w:sz w:val="44"/>
          <w:szCs w:val="44"/>
          <w:shd w:val="clear" w:fill="FFFFFF"/>
        </w:rPr>
        <w:fldChar w:fldCharType="begin"/>
      </w:r>
      <w:r>
        <w:rPr>
          <w:rFonts w:hint="eastAsia" w:ascii="微软雅黑" w:hAnsi="微软雅黑" w:eastAsia="微软雅黑" w:cs="微软雅黑"/>
          <w:i w:val="0"/>
          <w:caps w:val="0"/>
          <w:color w:val="595959"/>
          <w:spacing w:val="0"/>
          <w:sz w:val="44"/>
          <w:szCs w:val="44"/>
          <w:shd w:val="clear" w:fill="FFFFFF"/>
        </w:rPr>
        <w:instrText xml:space="preserve"> HYPERLINK "http://dkj.gxzf.gov.cn/xxgk/xxgkndbg/t7991806.shtml" \o "广西壮族自治区地质矿产勘查开发局  2020年度政府信息公开工作报告" \t "http://dkj.gxzf.gov.cn/xxgk/xxgkndbg/_blank" </w:instrText>
      </w:r>
      <w:r>
        <w:rPr>
          <w:rFonts w:hint="eastAsia" w:ascii="微软雅黑" w:hAnsi="微软雅黑" w:eastAsia="微软雅黑" w:cs="微软雅黑"/>
          <w:i w:val="0"/>
          <w:caps w:val="0"/>
          <w:color w:val="595959"/>
          <w:spacing w:val="0"/>
          <w:sz w:val="44"/>
          <w:szCs w:val="44"/>
          <w:shd w:val="clear" w:fill="FFFFFF"/>
        </w:rPr>
        <w:fldChar w:fldCharType="separate"/>
      </w:r>
      <w:r>
        <w:rPr>
          <w:rFonts w:hint="eastAsia" w:ascii="微软雅黑" w:hAnsi="微软雅黑" w:eastAsia="微软雅黑" w:cs="微软雅黑"/>
          <w:i w:val="0"/>
          <w:caps w:val="0"/>
          <w:color w:val="595959"/>
          <w:spacing w:val="0"/>
          <w:sz w:val="44"/>
          <w:szCs w:val="44"/>
          <w:shd w:val="clear" w:fill="FFFFFF"/>
        </w:rPr>
        <w:t>广西壮族自治区地质矿产勘查开发局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i w:val="0"/>
          <w:caps w:val="0"/>
          <w:color w:val="595959"/>
          <w:spacing w:val="0"/>
          <w:sz w:val="44"/>
          <w:szCs w:val="44"/>
          <w:shd w:val="clear" w:fill="FFFFFF"/>
        </w:rPr>
      </w:pPr>
      <w:r>
        <w:rPr>
          <w:rFonts w:hint="eastAsia" w:ascii="微软雅黑" w:hAnsi="微软雅黑" w:eastAsia="微软雅黑" w:cs="微软雅黑"/>
          <w:i w:val="0"/>
          <w:caps w:val="0"/>
          <w:color w:val="595959"/>
          <w:spacing w:val="0"/>
          <w:sz w:val="44"/>
          <w:szCs w:val="44"/>
          <w:shd w:val="clear" w:fill="FFFFFF"/>
        </w:rPr>
        <w:t>202</w:t>
      </w:r>
      <w:r>
        <w:rPr>
          <w:rFonts w:hint="eastAsia" w:ascii="微软雅黑" w:hAnsi="微软雅黑" w:eastAsia="微软雅黑" w:cs="微软雅黑"/>
          <w:i w:val="0"/>
          <w:caps w:val="0"/>
          <w:color w:val="595959"/>
          <w:spacing w:val="0"/>
          <w:sz w:val="44"/>
          <w:szCs w:val="44"/>
          <w:shd w:val="clear" w:fill="FFFFFF"/>
          <w:lang w:val="en-US" w:eastAsia="zh-CN"/>
        </w:rPr>
        <w:t>1</w:t>
      </w:r>
      <w:r>
        <w:rPr>
          <w:rFonts w:hint="eastAsia" w:ascii="微软雅黑" w:hAnsi="微软雅黑" w:eastAsia="微软雅黑" w:cs="微软雅黑"/>
          <w:i w:val="0"/>
          <w:caps w:val="0"/>
          <w:color w:val="595959"/>
          <w:spacing w:val="0"/>
          <w:sz w:val="44"/>
          <w:szCs w:val="44"/>
          <w:shd w:val="clear" w:fill="FFFFFF"/>
        </w:rPr>
        <w:t>年度政府信息公开工作报告</w:t>
      </w:r>
      <w:r>
        <w:rPr>
          <w:rFonts w:hint="eastAsia" w:ascii="微软雅黑" w:hAnsi="微软雅黑" w:eastAsia="微软雅黑" w:cs="微软雅黑"/>
          <w:i w:val="0"/>
          <w:caps w:val="0"/>
          <w:color w:val="595959"/>
          <w:spacing w:val="0"/>
          <w:sz w:val="44"/>
          <w:szCs w:val="44"/>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textAlignment w:val="auto"/>
        <w:rPr>
          <w:rStyle w:val="5"/>
          <w:rFonts w:hint="eastAsia" w:ascii="黑体" w:hAnsi="黑体" w:eastAsia="黑体" w:cs="黑体"/>
          <w:i w:val="0"/>
          <w:caps w:val="0"/>
          <w:color w:val="595959"/>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i w:val="0"/>
          <w:caps w:val="0"/>
          <w:color w:val="525353"/>
          <w:spacing w:val="0"/>
          <w:sz w:val="32"/>
          <w:szCs w:val="32"/>
        </w:rPr>
      </w:pPr>
      <w:r>
        <w:rPr>
          <w:rStyle w:val="5"/>
          <w:rFonts w:hint="eastAsia" w:ascii="黑体" w:hAnsi="黑体" w:eastAsia="黑体" w:cs="黑体"/>
          <w:i w:val="0"/>
          <w:caps w:val="0"/>
          <w:color w:val="595959"/>
          <w:spacing w:val="0"/>
          <w:sz w:val="32"/>
          <w:szCs w:val="32"/>
          <w:bdr w:val="none" w:color="auto" w:sz="0" w:space="0"/>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525353"/>
          <w:spacing w:val="0"/>
          <w:sz w:val="32"/>
          <w:szCs w:val="32"/>
        </w:rPr>
      </w:pPr>
      <w:r>
        <w:rPr>
          <w:rFonts w:hint="eastAsia" w:ascii="仿宋" w:hAnsi="仿宋" w:eastAsia="仿宋" w:cs="仿宋"/>
          <w:i w:val="0"/>
          <w:caps w:val="0"/>
          <w:color w:val="595959"/>
          <w:spacing w:val="0"/>
          <w:sz w:val="32"/>
          <w:szCs w:val="32"/>
          <w:bdr w:val="none" w:color="auto" w:sz="0" w:space="0"/>
          <w:shd w:val="clear" w:fill="FFFFFF"/>
        </w:rPr>
        <w:t>2021年度，自治区</w:t>
      </w:r>
      <w:r>
        <w:rPr>
          <w:rFonts w:hint="eastAsia" w:ascii="仿宋" w:hAnsi="仿宋" w:eastAsia="仿宋" w:cs="仿宋"/>
          <w:i w:val="0"/>
          <w:caps w:val="0"/>
          <w:color w:val="595959"/>
          <w:spacing w:val="0"/>
          <w:sz w:val="32"/>
          <w:szCs w:val="32"/>
          <w:bdr w:val="none" w:color="auto" w:sz="0" w:space="0"/>
          <w:shd w:val="clear" w:fill="FFFFFF"/>
          <w:lang w:eastAsia="zh-CN"/>
        </w:rPr>
        <w:t>地矿局</w:t>
      </w:r>
      <w:r>
        <w:rPr>
          <w:rFonts w:hint="eastAsia" w:ascii="仿宋" w:hAnsi="仿宋" w:eastAsia="仿宋" w:cs="仿宋"/>
          <w:i w:val="0"/>
          <w:caps w:val="0"/>
          <w:color w:val="595959"/>
          <w:spacing w:val="0"/>
          <w:sz w:val="32"/>
          <w:szCs w:val="32"/>
          <w:bdr w:val="none" w:color="auto" w:sz="0" w:space="0"/>
          <w:shd w:val="clear" w:fill="FFFFFF"/>
        </w:rPr>
        <w:t>认真贯彻落实《中华人民共和国政府信息公开条例》的精神和国家、自治区关于政务公开工作的部署要求，坚持以公开为常态、不公开为例外，遵循公正、公平、合法、便民的原则，及时、准确地公开</w:t>
      </w:r>
      <w:r>
        <w:rPr>
          <w:rFonts w:hint="eastAsia" w:ascii="仿宋" w:hAnsi="仿宋" w:eastAsia="仿宋" w:cs="仿宋"/>
          <w:i w:val="0"/>
          <w:caps w:val="0"/>
          <w:color w:val="595959"/>
          <w:spacing w:val="0"/>
          <w:sz w:val="32"/>
          <w:szCs w:val="32"/>
          <w:bdr w:val="none" w:color="auto" w:sz="0" w:space="0"/>
          <w:shd w:val="clear" w:fill="FFFFFF"/>
          <w:lang w:eastAsia="zh-CN"/>
        </w:rPr>
        <w:t>地矿系统</w:t>
      </w:r>
      <w:r>
        <w:rPr>
          <w:rFonts w:hint="eastAsia" w:ascii="仿宋" w:hAnsi="仿宋" w:eastAsia="仿宋" w:cs="仿宋"/>
          <w:i w:val="0"/>
          <w:caps w:val="0"/>
          <w:color w:val="595959"/>
          <w:spacing w:val="0"/>
          <w:sz w:val="32"/>
          <w:szCs w:val="32"/>
          <w:bdr w:val="none" w:color="auto" w:sz="0" w:space="0"/>
          <w:shd w:val="clear" w:fill="FFFFFF"/>
        </w:rPr>
        <w:t>涉及的政府信息。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525353"/>
          <w:spacing w:val="0"/>
          <w:sz w:val="32"/>
          <w:szCs w:val="32"/>
        </w:rPr>
      </w:pPr>
      <w:r>
        <w:rPr>
          <w:rStyle w:val="5"/>
          <w:rFonts w:hint="eastAsia" w:ascii="仿宋" w:hAnsi="仿宋" w:eastAsia="仿宋" w:cs="仿宋"/>
          <w:i w:val="0"/>
          <w:caps w:val="0"/>
          <w:color w:val="595959"/>
          <w:spacing w:val="0"/>
          <w:sz w:val="32"/>
          <w:szCs w:val="32"/>
          <w:bdr w:val="none" w:color="auto" w:sz="0" w:space="0"/>
          <w:shd w:val="clear" w:fill="FFFFFF"/>
        </w:rPr>
        <w:t>（一）主动公开政府信息。</w:t>
      </w:r>
      <w:r>
        <w:rPr>
          <w:rFonts w:hint="eastAsia" w:ascii="仿宋" w:hAnsi="仿宋" w:eastAsia="仿宋" w:cs="仿宋"/>
          <w:i w:val="0"/>
          <w:caps w:val="0"/>
          <w:color w:val="595959"/>
          <w:spacing w:val="0"/>
          <w:sz w:val="32"/>
          <w:szCs w:val="32"/>
          <w:bdr w:val="none" w:color="auto" w:sz="0" w:space="0"/>
          <w:shd w:val="clear" w:fill="FFFFFF"/>
        </w:rPr>
        <w:t>根据《中华人民共和国政府信息公开条例》第二十条规定，对涉及公众利益调整、需要公众广泛知晓或者需要公众参与决策的，本部门保存、制发的政府信息，一律主动对外公开。2021年，自治区</w:t>
      </w:r>
      <w:r>
        <w:rPr>
          <w:rFonts w:hint="eastAsia" w:ascii="仿宋" w:hAnsi="仿宋" w:eastAsia="仿宋" w:cs="仿宋"/>
          <w:i w:val="0"/>
          <w:caps w:val="0"/>
          <w:color w:val="595959"/>
          <w:spacing w:val="0"/>
          <w:sz w:val="32"/>
          <w:szCs w:val="32"/>
          <w:bdr w:val="none" w:color="auto" w:sz="0" w:space="0"/>
          <w:shd w:val="clear" w:fill="FFFFFF"/>
          <w:lang w:eastAsia="zh-CN"/>
        </w:rPr>
        <w:t>地矿局</w:t>
      </w:r>
      <w:r>
        <w:rPr>
          <w:rFonts w:hint="eastAsia" w:ascii="仿宋" w:hAnsi="仿宋" w:eastAsia="仿宋" w:cs="仿宋"/>
          <w:i w:val="0"/>
          <w:caps w:val="0"/>
          <w:color w:val="595959"/>
          <w:spacing w:val="0"/>
          <w:sz w:val="32"/>
          <w:szCs w:val="32"/>
          <w:bdr w:val="none" w:color="auto" w:sz="0" w:space="0"/>
          <w:shd w:val="clear" w:fill="FFFFFF"/>
        </w:rPr>
        <w:t>未制发规范性文件，以</w:t>
      </w:r>
      <w:r>
        <w:rPr>
          <w:rFonts w:hint="eastAsia" w:ascii="仿宋" w:hAnsi="仿宋" w:eastAsia="仿宋" w:cs="仿宋"/>
          <w:i w:val="0"/>
          <w:caps w:val="0"/>
          <w:color w:val="595959"/>
          <w:spacing w:val="0"/>
          <w:sz w:val="32"/>
          <w:szCs w:val="32"/>
          <w:bdr w:val="none" w:color="auto" w:sz="0" w:space="0"/>
          <w:shd w:val="clear" w:fill="FFFFFF"/>
          <w:lang w:eastAsia="zh-CN"/>
        </w:rPr>
        <w:t>预算公开报告、政府信息年度公开报告、人事招聘、人事任免、评先评优等信息公开了</w:t>
      </w:r>
      <w:r>
        <w:rPr>
          <w:rFonts w:hint="eastAsia" w:ascii="仿宋" w:hAnsi="仿宋" w:eastAsia="仿宋" w:cs="仿宋"/>
          <w:i w:val="0"/>
          <w:caps w:val="0"/>
          <w:color w:val="595959"/>
          <w:spacing w:val="0"/>
          <w:sz w:val="32"/>
          <w:szCs w:val="32"/>
          <w:bdr w:val="none" w:color="auto" w:sz="0" w:space="0"/>
          <w:shd w:val="clear" w:fill="FFFFFF"/>
          <w:lang w:val="en-US" w:eastAsia="zh-CN"/>
        </w:rPr>
        <w:t>141条</w:t>
      </w:r>
      <w:r>
        <w:rPr>
          <w:rFonts w:hint="eastAsia" w:ascii="仿宋" w:hAnsi="仿宋" w:eastAsia="仿宋" w:cs="仿宋"/>
          <w:i w:val="0"/>
          <w:caps w:val="0"/>
          <w:color w:val="595959"/>
          <w:spacing w:val="0"/>
          <w:sz w:val="32"/>
          <w:szCs w:val="32"/>
          <w:bdr w:val="none" w:color="auto" w:sz="0" w:space="0"/>
          <w:shd w:val="clear" w:fill="FFFFFF"/>
        </w:rPr>
        <w:t>（其中涉及的秘密和敏感事项等信息不予公开），非规范性文件的其他文件1</w:t>
      </w:r>
      <w:r>
        <w:rPr>
          <w:rFonts w:hint="eastAsia" w:ascii="仿宋" w:hAnsi="仿宋" w:eastAsia="仿宋" w:cs="仿宋"/>
          <w:i w:val="0"/>
          <w:caps w:val="0"/>
          <w:color w:val="595959"/>
          <w:spacing w:val="0"/>
          <w:sz w:val="32"/>
          <w:szCs w:val="32"/>
          <w:bdr w:val="none" w:color="auto" w:sz="0" w:space="0"/>
          <w:shd w:val="clear" w:fill="FFFFFF"/>
          <w:lang w:val="en-US" w:eastAsia="zh-CN"/>
        </w:rPr>
        <w:t>3</w:t>
      </w:r>
      <w:r>
        <w:rPr>
          <w:rFonts w:hint="eastAsia" w:ascii="仿宋" w:hAnsi="仿宋" w:eastAsia="仿宋" w:cs="仿宋"/>
          <w:i w:val="0"/>
          <w:caps w:val="0"/>
          <w:color w:val="595959"/>
          <w:spacing w:val="0"/>
          <w:sz w:val="32"/>
          <w:szCs w:val="32"/>
          <w:bdr w:val="none" w:color="auto" w:sz="0" w:space="0"/>
          <w:shd w:val="clear" w:fill="FFFFFF"/>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525353"/>
          <w:spacing w:val="0"/>
          <w:sz w:val="32"/>
          <w:szCs w:val="32"/>
        </w:rPr>
      </w:pPr>
      <w:r>
        <w:rPr>
          <w:rStyle w:val="5"/>
          <w:rFonts w:hint="eastAsia" w:ascii="仿宋" w:hAnsi="仿宋" w:eastAsia="仿宋" w:cs="仿宋"/>
          <w:i w:val="0"/>
          <w:caps w:val="0"/>
          <w:color w:val="595959"/>
          <w:spacing w:val="0"/>
          <w:sz w:val="32"/>
          <w:szCs w:val="32"/>
          <w:bdr w:val="none" w:color="auto" w:sz="0" w:space="0"/>
          <w:shd w:val="clear" w:fill="FFFFFF"/>
        </w:rPr>
        <w:t>（二）按时办理依申请公开政府信息事项。</w:t>
      </w:r>
      <w:r>
        <w:rPr>
          <w:rStyle w:val="5"/>
          <w:rFonts w:hint="eastAsia" w:ascii="仿宋" w:hAnsi="仿宋" w:eastAsia="仿宋" w:cs="仿宋"/>
          <w:i w:val="0"/>
          <w:caps w:val="0"/>
          <w:color w:val="595959"/>
          <w:spacing w:val="0"/>
          <w:sz w:val="32"/>
          <w:szCs w:val="32"/>
          <w:bdr w:val="none" w:color="auto" w:sz="0" w:space="0"/>
          <w:shd w:val="clear" w:fill="FFFFFF"/>
          <w:lang w:val="en-US" w:eastAsia="zh-CN"/>
        </w:rPr>
        <w:t>2021年没有单位或者自然人向我局</w:t>
      </w:r>
      <w:r>
        <w:rPr>
          <w:rFonts w:hint="eastAsia" w:ascii="仿宋" w:hAnsi="仿宋" w:eastAsia="仿宋" w:cs="仿宋"/>
          <w:i w:val="0"/>
          <w:caps w:val="0"/>
          <w:color w:val="595959"/>
          <w:spacing w:val="0"/>
          <w:sz w:val="32"/>
          <w:szCs w:val="32"/>
          <w:bdr w:val="none" w:color="auto" w:sz="0" w:space="0"/>
          <w:shd w:val="clear" w:fill="FFFFFF"/>
        </w:rPr>
        <w:t>申请政府信息公开事项，未产生相关投诉问题。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525353"/>
          <w:spacing w:val="0"/>
          <w:sz w:val="32"/>
          <w:szCs w:val="32"/>
        </w:rPr>
      </w:pPr>
      <w:r>
        <w:rPr>
          <w:rStyle w:val="5"/>
          <w:rFonts w:hint="eastAsia" w:ascii="仿宋" w:hAnsi="仿宋" w:eastAsia="仿宋" w:cs="仿宋"/>
          <w:i w:val="0"/>
          <w:caps w:val="0"/>
          <w:color w:val="595959"/>
          <w:spacing w:val="0"/>
          <w:sz w:val="32"/>
          <w:szCs w:val="32"/>
          <w:bdr w:val="none" w:color="auto" w:sz="0" w:space="0"/>
          <w:shd w:val="clear" w:fill="FFFFFF"/>
        </w:rPr>
        <w:t>（三）加强政府信息管理。</w:t>
      </w:r>
      <w:r>
        <w:rPr>
          <w:rFonts w:hint="eastAsia" w:ascii="仿宋" w:hAnsi="仿宋" w:eastAsia="仿宋" w:cs="仿宋"/>
          <w:i w:val="0"/>
          <w:caps w:val="0"/>
          <w:color w:val="595959"/>
          <w:spacing w:val="0"/>
          <w:sz w:val="32"/>
          <w:szCs w:val="32"/>
          <w:bdr w:val="none" w:color="auto" w:sz="0" w:space="0"/>
          <w:shd w:val="clear" w:fill="FFFFFF"/>
        </w:rPr>
        <w:t>建立新闻及信息资源管理制度，强化对政府信息的归档和管理；依照《中华人民共和国保守国家秘密法》以及其他法律、法规和国家有关规定对拟公开的政府信息进行审查，严格把好政府信息公开关口，确保依法确定为国家秘密的政府信息，法律、行政法规禁止公开的政府信息，以及公开后可能危及国家安全、公共安全、经济安全、社会稳定的政府信息不予公开；确保涉及商业秘密、个人隐私等公开会对第三方合法权益造成损害的政府信息原则上不得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525353"/>
          <w:spacing w:val="0"/>
          <w:sz w:val="32"/>
          <w:szCs w:val="32"/>
        </w:rPr>
      </w:pPr>
      <w:r>
        <w:rPr>
          <w:rStyle w:val="5"/>
          <w:rFonts w:hint="eastAsia" w:ascii="仿宋" w:hAnsi="仿宋" w:eastAsia="仿宋" w:cs="仿宋"/>
          <w:i w:val="0"/>
          <w:caps w:val="0"/>
          <w:color w:val="595959"/>
          <w:spacing w:val="0"/>
          <w:sz w:val="32"/>
          <w:szCs w:val="32"/>
          <w:bdr w:val="none" w:color="auto" w:sz="0" w:space="0"/>
          <w:shd w:val="clear" w:fill="FFFFFF"/>
        </w:rPr>
        <w:t>（四）持续完善政府信息公开平台建设。</w:t>
      </w:r>
      <w:r>
        <w:rPr>
          <w:rFonts w:hint="eastAsia" w:ascii="仿宋" w:hAnsi="仿宋" w:eastAsia="仿宋" w:cs="仿宋"/>
          <w:i w:val="0"/>
          <w:caps w:val="0"/>
          <w:color w:val="595959"/>
          <w:spacing w:val="0"/>
          <w:sz w:val="32"/>
          <w:szCs w:val="32"/>
          <w:bdr w:val="none" w:color="auto" w:sz="0" w:space="0"/>
          <w:shd w:val="clear" w:fill="FFFFFF"/>
        </w:rPr>
        <w:t>依托本部门网站、微博、微信公众号等政务新媒体，抓好主动公开类别的政府信息公开，并在网站实现在线接收受理依申请公开事项。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i w:val="0"/>
          <w:caps w:val="0"/>
          <w:color w:val="525353"/>
          <w:spacing w:val="0"/>
          <w:sz w:val="32"/>
          <w:szCs w:val="32"/>
        </w:rPr>
      </w:pPr>
      <w:r>
        <w:rPr>
          <w:rStyle w:val="5"/>
          <w:rFonts w:hint="eastAsia" w:ascii="仿宋" w:hAnsi="仿宋" w:eastAsia="仿宋" w:cs="仿宋"/>
          <w:i w:val="0"/>
          <w:caps w:val="0"/>
          <w:color w:val="595959"/>
          <w:spacing w:val="0"/>
          <w:sz w:val="32"/>
          <w:szCs w:val="32"/>
          <w:bdr w:val="none" w:color="auto" w:sz="0" w:space="0"/>
          <w:shd w:val="clear" w:fill="FFFFFF"/>
        </w:rPr>
        <w:t>（五）加强政府信息公开工作监督保障。</w:t>
      </w:r>
      <w:r>
        <w:rPr>
          <w:rFonts w:hint="eastAsia" w:ascii="仿宋" w:hAnsi="仿宋" w:eastAsia="仿宋" w:cs="仿宋"/>
          <w:i w:val="0"/>
          <w:caps w:val="0"/>
          <w:color w:val="595959"/>
          <w:spacing w:val="0"/>
          <w:sz w:val="32"/>
          <w:szCs w:val="32"/>
          <w:bdr w:val="none" w:color="auto" w:sz="0" w:space="0"/>
          <w:shd w:val="clear" w:fill="FFFFFF"/>
        </w:rPr>
        <w:t>加强政府信息公开工作督促检查，结合</w:t>
      </w:r>
      <w:r>
        <w:rPr>
          <w:rFonts w:hint="eastAsia" w:ascii="仿宋" w:hAnsi="仿宋" w:eastAsia="仿宋" w:cs="仿宋"/>
          <w:i w:val="0"/>
          <w:caps w:val="0"/>
          <w:color w:val="595959"/>
          <w:spacing w:val="0"/>
          <w:sz w:val="32"/>
          <w:szCs w:val="32"/>
          <w:bdr w:val="none" w:color="auto" w:sz="0" w:space="0"/>
          <w:shd w:val="clear" w:fill="FFFFFF"/>
          <w:lang w:eastAsia="zh-CN"/>
        </w:rPr>
        <w:t>地矿</w:t>
      </w:r>
      <w:r>
        <w:rPr>
          <w:rFonts w:hint="eastAsia" w:ascii="仿宋" w:hAnsi="仿宋" w:eastAsia="仿宋" w:cs="仿宋"/>
          <w:i w:val="0"/>
          <w:caps w:val="0"/>
          <w:color w:val="595959"/>
          <w:spacing w:val="0"/>
          <w:sz w:val="32"/>
          <w:szCs w:val="32"/>
          <w:bdr w:val="none" w:color="auto" w:sz="0" w:space="0"/>
          <w:shd w:val="clear" w:fill="FFFFFF"/>
        </w:rPr>
        <w:t>工作实际，根据政府信息公开工作政策规定开展查漏补缺，弥补工作中的不足，确保主动公开涉及的内容全部按照要求及时公开。积极接受自治区政府信息公开工作主管部门考核管理，强化沟通联系、协调协作，根据考核评价情况及时调整完善政府信息公开工作措施做法，分析研究存在的问题和困难，加强和改进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Style w:val="5"/>
          <w:rFonts w:hint="eastAsia" w:ascii="黑体" w:hAnsi="黑体" w:eastAsia="黑体" w:cs="黑体"/>
          <w:i w:val="0"/>
          <w:caps w:val="0"/>
          <w:color w:val="595959"/>
          <w:spacing w:val="0"/>
          <w:sz w:val="32"/>
          <w:szCs w:val="32"/>
          <w:shd w:val="clear" w:fill="FFFFFF"/>
        </w:rPr>
      </w:pPr>
      <w:r>
        <w:rPr>
          <w:rStyle w:val="5"/>
          <w:rFonts w:hint="eastAsia" w:ascii="黑体" w:hAnsi="黑体" w:eastAsia="黑体" w:cs="黑体"/>
          <w:i w:val="0"/>
          <w:caps w:val="0"/>
          <w:color w:val="595959"/>
          <w:spacing w:val="0"/>
          <w:sz w:val="32"/>
          <w:szCs w:val="32"/>
          <w:shd w:val="clear" w:fill="FFFFFF"/>
        </w:rPr>
        <w:t>    二、主动公开政府信息的情况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560" w:lineRule="exact"/>
        <w:ind w:left="0" w:right="0" w:firstLine="0"/>
        <w:jc w:val="left"/>
        <w:textAlignment w:val="auto"/>
        <w:rPr>
          <w:rFonts w:hint="eastAsia" w:ascii="仿宋" w:hAnsi="仿宋" w:eastAsia="仿宋" w:cs="仿宋"/>
          <w:i w:val="0"/>
          <w:caps w:val="0"/>
          <w:color w:val="525353"/>
          <w:spacing w:val="0"/>
          <w:sz w:val="32"/>
          <w:szCs w:val="32"/>
        </w:rPr>
      </w:pPr>
    </w:p>
    <w:tbl>
      <w:tblPr>
        <w:tblW w:w="7812" w:type="dxa"/>
        <w:jc w:val="center"/>
        <w:tblInd w:w="360" w:type="dxa"/>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fixed"/>
        <w:tblCellMar>
          <w:top w:w="0" w:type="dxa"/>
          <w:left w:w="0" w:type="dxa"/>
          <w:bottom w:w="0" w:type="dxa"/>
          <w:right w:w="0" w:type="dxa"/>
        </w:tblCellMar>
      </w:tblPr>
      <w:tblGrid>
        <w:gridCol w:w="2136"/>
        <w:gridCol w:w="1488"/>
        <w:gridCol w:w="1296"/>
        <w:gridCol w:w="2892"/>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fixed"/>
          <w:tblCellMar>
            <w:top w:w="0" w:type="dxa"/>
            <w:left w:w="0" w:type="dxa"/>
            <w:bottom w:w="0" w:type="dxa"/>
            <w:right w:w="0" w:type="dxa"/>
          </w:tblCellMar>
        </w:tblPrEx>
        <w:trPr>
          <w:trHeight w:val="253" w:hRule="atLeast"/>
          <w:jc w:val="center"/>
        </w:trPr>
        <w:tc>
          <w:tcPr>
            <w:tcW w:w="7812" w:type="dxa"/>
            <w:gridSpan w:val="4"/>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第二十条第（一）项</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信息内容</w:t>
            </w:r>
          </w:p>
        </w:tc>
        <w:tc>
          <w:tcPr>
            <w:tcW w:w="1488"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本年制发件数</w:t>
            </w:r>
          </w:p>
        </w:tc>
        <w:tc>
          <w:tcPr>
            <w:tcW w:w="129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本年废止件数</w:t>
            </w:r>
          </w:p>
        </w:tc>
        <w:tc>
          <w:tcPr>
            <w:tcW w:w="2892"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现行有效件数</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规章</w:t>
            </w:r>
          </w:p>
        </w:tc>
        <w:tc>
          <w:tcPr>
            <w:tcW w:w="1488"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129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2892"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规范性文件</w:t>
            </w:r>
          </w:p>
        </w:tc>
        <w:tc>
          <w:tcPr>
            <w:tcW w:w="1488"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129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2892"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7812" w:type="dxa"/>
            <w:gridSpan w:val="4"/>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第二十条第（五）项</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信息内容</w:t>
            </w:r>
          </w:p>
        </w:tc>
        <w:tc>
          <w:tcPr>
            <w:tcW w:w="5676" w:type="dxa"/>
            <w:gridSpan w:val="3"/>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本年处理决定数量</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行政许可</w:t>
            </w:r>
          </w:p>
        </w:tc>
        <w:tc>
          <w:tcPr>
            <w:tcW w:w="5676" w:type="dxa"/>
            <w:gridSpan w:val="3"/>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7812" w:type="dxa"/>
            <w:gridSpan w:val="4"/>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第二十条第（六）项</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信息内容</w:t>
            </w:r>
          </w:p>
        </w:tc>
        <w:tc>
          <w:tcPr>
            <w:tcW w:w="5676" w:type="dxa"/>
            <w:gridSpan w:val="3"/>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本年处理决定数量</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行政处罚</w:t>
            </w:r>
          </w:p>
        </w:tc>
        <w:tc>
          <w:tcPr>
            <w:tcW w:w="5676" w:type="dxa"/>
            <w:gridSpan w:val="3"/>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行政强制</w:t>
            </w:r>
          </w:p>
        </w:tc>
        <w:tc>
          <w:tcPr>
            <w:tcW w:w="5676" w:type="dxa"/>
            <w:gridSpan w:val="3"/>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7812" w:type="dxa"/>
            <w:gridSpan w:val="4"/>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第二十条第（八）项</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64"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信息内容</w:t>
            </w:r>
          </w:p>
        </w:tc>
        <w:tc>
          <w:tcPr>
            <w:tcW w:w="5676" w:type="dxa"/>
            <w:gridSpan w:val="3"/>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本年收费金额（单位：万元）</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253" w:hRule="atLeast"/>
          <w:jc w:val="center"/>
        </w:trPr>
        <w:tc>
          <w:tcPr>
            <w:tcW w:w="2136" w:type="dxa"/>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行政事业性收费</w:t>
            </w:r>
          </w:p>
        </w:tc>
        <w:tc>
          <w:tcPr>
            <w:tcW w:w="5676" w:type="dxa"/>
            <w:gridSpan w:val="3"/>
            <w:tcBorders>
              <w:top w:val="single" w:color="000000" w:sz="4" w:space="0"/>
              <w:left w:val="single" w:color="000000" w:sz="4" w:space="0"/>
              <w:bottom w:val="single" w:color="000000" w:sz="4" w:space="0"/>
              <w:right w:val="single" w:color="000000" w:sz="4" w:space="0"/>
            </w:tcBorders>
            <w:shd w:val="clear"/>
            <w:tcMar>
              <w:top w:w="28" w:type="dxa"/>
              <w:left w:w="113" w:type="dxa"/>
              <w:bottom w:w="28" w:type="dxa"/>
              <w:right w:w="113"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Style w:val="5"/>
          <w:rFonts w:hint="eastAsia" w:ascii="黑体" w:hAnsi="黑体" w:eastAsia="黑体" w:cs="黑体"/>
          <w:i w:val="0"/>
          <w:caps w:val="0"/>
          <w:color w:val="595959"/>
          <w:spacing w:val="0"/>
          <w:sz w:val="32"/>
          <w:szCs w:val="32"/>
          <w:shd w:val="clear" w:fill="FFFFFF"/>
        </w:rPr>
      </w:pPr>
      <w:r>
        <w:rPr>
          <w:rStyle w:val="5"/>
          <w:rFonts w:hint="eastAsia" w:ascii="黑体" w:hAnsi="黑体" w:eastAsia="黑体" w:cs="黑体"/>
          <w:i w:val="0"/>
          <w:caps w:val="0"/>
          <w:color w:val="595959"/>
          <w:spacing w:val="0"/>
          <w:sz w:val="32"/>
          <w:szCs w:val="32"/>
          <w:shd w:val="clear" w:fill="FFFFFF"/>
        </w:rPr>
        <w:t>三、收到和处理政府信息公开申请情况</w:t>
      </w:r>
    </w:p>
    <w:tbl>
      <w:tblPr>
        <w:tblW w:w="7578" w:type="dxa"/>
        <w:jc w:val="center"/>
        <w:tblInd w:w="472" w:type="dxa"/>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fixed"/>
        <w:tblCellMar>
          <w:top w:w="0" w:type="dxa"/>
          <w:left w:w="0" w:type="dxa"/>
          <w:bottom w:w="0" w:type="dxa"/>
          <w:right w:w="0" w:type="dxa"/>
        </w:tblCellMar>
      </w:tblPr>
      <w:tblGrid>
        <w:gridCol w:w="856"/>
        <w:gridCol w:w="1078"/>
        <w:gridCol w:w="758"/>
        <w:gridCol w:w="698"/>
        <w:gridCol w:w="698"/>
        <w:gridCol w:w="698"/>
        <w:gridCol w:w="698"/>
        <w:gridCol w:w="698"/>
        <w:gridCol w:w="698"/>
        <w:gridCol w:w="698"/>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692" w:type="dxa"/>
            <w:gridSpan w:val="3"/>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（本列数据的勾稽关系为：第一项加第二项之和，等于第三项加第四项之和）</w:t>
            </w:r>
          </w:p>
        </w:tc>
        <w:tc>
          <w:tcPr>
            <w:tcW w:w="4886" w:type="dxa"/>
            <w:gridSpan w:val="7"/>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申请人情况</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92" w:type="dxa"/>
            <w:gridSpan w:val="3"/>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698" w:type="dxa"/>
            <w:vMerge w:val="restart"/>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自然人</w:t>
            </w:r>
          </w:p>
        </w:tc>
        <w:tc>
          <w:tcPr>
            <w:tcW w:w="3490" w:type="dxa"/>
            <w:gridSpan w:val="5"/>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法人或其他组织</w:t>
            </w:r>
          </w:p>
        </w:tc>
        <w:tc>
          <w:tcPr>
            <w:tcW w:w="698" w:type="dxa"/>
            <w:vMerge w:val="restart"/>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总计</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692" w:type="dxa"/>
            <w:gridSpan w:val="3"/>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69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698" w:type="dxa"/>
            <w:tcBorders>
              <w:top w:val="nil"/>
              <w:left w:val="nil"/>
              <w:bottom w:val="single" w:color="000000" w:sz="4"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商业企业</w:t>
            </w:r>
          </w:p>
        </w:tc>
        <w:tc>
          <w:tcPr>
            <w:tcW w:w="698" w:type="dxa"/>
            <w:tcBorders>
              <w:top w:val="nil"/>
              <w:left w:val="nil"/>
              <w:bottom w:val="single" w:color="000000" w:sz="4"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科研机构</w:t>
            </w:r>
          </w:p>
        </w:tc>
        <w:tc>
          <w:tcPr>
            <w:tcW w:w="698" w:type="dxa"/>
            <w:tcBorders>
              <w:top w:val="single" w:color="000000" w:sz="8" w:space="0"/>
              <w:left w:val="nil"/>
              <w:bottom w:val="single" w:color="000000" w:sz="4"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社会公益组织</w:t>
            </w:r>
          </w:p>
        </w:tc>
        <w:tc>
          <w:tcPr>
            <w:tcW w:w="698" w:type="dxa"/>
            <w:tcBorders>
              <w:top w:val="single" w:color="000000" w:sz="8" w:space="0"/>
              <w:left w:val="nil"/>
              <w:bottom w:val="single" w:color="000000" w:sz="4"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法律服务机构</w:t>
            </w:r>
          </w:p>
        </w:tc>
        <w:tc>
          <w:tcPr>
            <w:tcW w:w="698" w:type="dxa"/>
            <w:tcBorders>
              <w:top w:val="single" w:color="000000" w:sz="8" w:space="0"/>
              <w:left w:val="nil"/>
              <w:bottom w:val="single" w:color="000000" w:sz="4"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其他</w:t>
            </w:r>
          </w:p>
        </w:tc>
        <w:tc>
          <w:tcPr>
            <w:tcW w:w="698" w:type="dxa"/>
            <w:vMerge w:val="continue"/>
            <w:tcBorders>
              <w:top w:val="single" w:color="000000" w:sz="8" w:space="0"/>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121" w:hRule="atLeast"/>
          <w:jc w:val="center"/>
        </w:trPr>
        <w:tc>
          <w:tcPr>
            <w:tcW w:w="2692" w:type="dxa"/>
            <w:gridSpan w:val="3"/>
            <w:tcBorders>
              <w:top w:val="single" w:color="000000" w:sz="4"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一、本年新收政府信息公开申请数量</w:t>
            </w:r>
          </w:p>
        </w:tc>
        <w:tc>
          <w:tcPr>
            <w:tcW w:w="698" w:type="dxa"/>
            <w:tcBorders>
              <w:top w:val="single" w:color="000000" w:sz="4"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lang w:eastAsia="zh-CN"/>
              </w:rPr>
            </w:pPr>
            <w:r>
              <w:rPr>
                <w:rFonts w:hint="eastAsia" w:ascii="仿宋" w:hAnsi="仿宋" w:eastAsia="仿宋" w:cs="仿宋"/>
                <w:color w:val="595959"/>
                <w:sz w:val="32"/>
                <w:szCs w:val="32"/>
                <w:bdr w:val="none" w:color="auto" w:sz="0" w:space="0"/>
                <w:lang w:val="en-US" w:eastAsia="zh-CN"/>
              </w:rPr>
              <w:t>0</w:t>
            </w:r>
          </w:p>
        </w:tc>
        <w:tc>
          <w:tcPr>
            <w:tcW w:w="698" w:type="dxa"/>
            <w:tcBorders>
              <w:top w:val="single" w:color="000000" w:sz="4"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single" w:color="000000" w:sz="4"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single" w:color="000000" w:sz="4"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single" w:color="000000" w:sz="4"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single" w:color="000000" w:sz="4"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single" w:color="000000" w:sz="4"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lang w:eastAsia="zh-CN"/>
              </w:rPr>
            </w:pPr>
            <w:r>
              <w:rPr>
                <w:rFonts w:hint="eastAsia" w:ascii="仿宋" w:hAnsi="仿宋" w:eastAsia="仿宋" w:cs="仿宋"/>
                <w:color w:val="595959"/>
                <w:sz w:val="32"/>
                <w:szCs w:val="32"/>
                <w:bdr w:val="none" w:color="auto" w:sz="0" w:space="0"/>
                <w:lang w:val="en-US" w:eastAsia="zh-CN"/>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121" w:hRule="atLeast"/>
          <w:jc w:val="center"/>
        </w:trPr>
        <w:tc>
          <w:tcPr>
            <w:tcW w:w="2692"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二、上年结转政府信息公开申请数量</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三、本年度办理结果</w:t>
            </w:r>
          </w:p>
        </w:tc>
        <w:tc>
          <w:tcPr>
            <w:tcW w:w="1836" w:type="dxa"/>
            <w:gridSpan w:val="2"/>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（一）予以公开</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lang w:eastAsia="zh-CN"/>
              </w:rPr>
            </w:pPr>
            <w:r>
              <w:rPr>
                <w:rFonts w:hint="eastAsia" w:ascii="仿宋" w:hAnsi="仿宋" w:eastAsia="仿宋" w:cs="仿宋"/>
                <w:color w:val="595959"/>
                <w:sz w:val="32"/>
                <w:szCs w:val="32"/>
                <w:bdr w:val="none" w:color="auto" w:sz="0" w:space="0"/>
                <w:lang w:val="en-US" w:eastAsia="zh-CN"/>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lang w:eastAsia="zh-CN"/>
              </w:rPr>
            </w:pPr>
            <w:r>
              <w:rPr>
                <w:rFonts w:hint="eastAsia" w:ascii="仿宋" w:hAnsi="仿宋" w:eastAsia="仿宋" w:cs="仿宋"/>
                <w:color w:val="595959"/>
                <w:sz w:val="32"/>
                <w:szCs w:val="32"/>
                <w:bdr w:val="none" w:color="auto" w:sz="0" w:space="0"/>
                <w:lang w:val="en-US" w:eastAsia="zh-CN"/>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836" w:type="dxa"/>
            <w:gridSpan w:val="2"/>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（二）部分公开（区分处理的，只计这一情形，不计其他情形）</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restart"/>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（三）不予公开</w:t>
            </w: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1.属于国家秘密</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2.其他法律行政法规禁止公开</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3.危及“三安全一稳定”</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4.保护第三方合法权益</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5.属于三类内部事务信息</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6.属于四类过程性信息</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7.属于行政执法案卷</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8.属于行政查询事项</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restart"/>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（四）无法提供</w:t>
            </w: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1.本机关不掌握相关政府信息</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lang w:eastAsia="zh-CN"/>
              </w:rPr>
            </w:pPr>
            <w:r>
              <w:rPr>
                <w:rFonts w:hint="eastAsia" w:ascii="仿宋" w:hAnsi="仿宋" w:eastAsia="仿宋" w:cs="仿宋"/>
                <w:color w:val="595959"/>
                <w:sz w:val="32"/>
                <w:szCs w:val="32"/>
                <w:bdr w:val="none" w:color="auto" w:sz="0" w:space="0"/>
                <w:lang w:val="en-US" w:eastAsia="zh-CN"/>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lang w:eastAsia="zh-CN"/>
              </w:rPr>
            </w:pPr>
            <w:r>
              <w:rPr>
                <w:rFonts w:hint="eastAsia" w:ascii="仿宋" w:hAnsi="仿宋" w:eastAsia="仿宋" w:cs="仿宋"/>
                <w:color w:val="595959"/>
                <w:sz w:val="32"/>
                <w:szCs w:val="32"/>
                <w:bdr w:val="none" w:color="auto" w:sz="0" w:space="0"/>
                <w:lang w:val="en-US" w:eastAsia="zh-CN"/>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2.没有现成信息需要另行制作</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3.补正后申请内容仍不明确</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restart"/>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（五）不予处理</w:t>
            </w: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1.信访举报投诉类申请</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2.重复申请</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3.要求提供公开出版物</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4.无正当理由大量反复申请</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5.要求行政机关确认或重新出具已获取信息</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restart"/>
            <w:tcBorders>
              <w:top w:val="nil"/>
              <w:left w:val="nil"/>
              <w:bottom w:val="double" w:color="C0C0C0" w:sz="6"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（六）其他处理</w:t>
            </w: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1.申请人无正当理由逾期不补正、行政机关不再处理其政府信息公开申请</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double" w:color="C0C0C0" w:sz="6"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2.申请人逾期未按收费通知要求缴纳费用、行政机关不再处理其政府信息公开申请</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078" w:type="dxa"/>
            <w:vMerge w:val="continue"/>
            <w:tcBorders>
              <w:top w:val="nil"/>
              <w:left w:val="nil"/>
              <w:bottom w:val="double" w:color="C0C0C0" w:sz="6"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75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3.其他</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6"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32"/>
                <w:szCs w:val="32"/>
              </w:rPr>
            </w:pPr>
          </w:p>
        </w:tc>
        <w:tc>
          <w:tcPr>
            <w:tcW w:w="1836" w:type="dxa"/>
            <w:gridSpan w:val="2"/>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（七）总计</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lang w:val="en-US" w:eastAsia="zh-CN"/>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lang w:eastAsia="zh-CN"/>
              </w:rPr>
            </w:pPr>
            <w:r>
              <w:rPr>
                <w:rFonts w:hint="eastAsia" w:ascii="仿宋" w:hAnsi="仿宋" w:eastAsia="仿宋" w:cs="仿宋"/>
                <w:color w:val="595959"/>
                <w:sz w:val="32"/>
                <w:szCs w:val="32"/>
                <w:bdr w:val="none" w:color="auto" w:sz="0" w:space="0"/>
                <w:lang w:val="en-US" w:eastAsia="zh-CN"/>
              </w:rPr>
              <w:t>0</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108" w:hRule="atLeast"/>
          <w:jc w:val="center"/>
        </w:trPr>
        <w:tc>
          <w:tcPr>
            <w:tcW w:w="2692"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四、结转下年度继续办理</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c>
          <w:tcPr>
            <w:tcW w:w="698"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595959"/>
                <w:sz w:val="32"/>
                <w:szCs w:val="32"/>
                <w:bdr w:val="none" w:color="auto" w:sz="0" w:space="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Style w:val="5"/>
          <w:rFonts w:hint="eastAsia" w:ascii="黑体" w:hAnsi="黑体" w:eastAsia="黑体" w:cs="黑体"/>
          <w:i w:val="0"/>
          <w:caps w:val="0"/>
          <w:color w:val="595959"/>
          <w:spacing w:val="0"/>
          <w:sz w:val="32"/>
          <w:szCs w:val="32"/>
          <w:shd w:val="clear" w:fill="FFFFFF"/>
        </w:rPr>
      </w:pPr>
      <w:r>
        <w:rPr>
          <w:rStyle w:val="5"/>
          <w:rFonts w:hint="eastAsia" w:ascii="黑体" w:hAnsi="黑体" w:eastAsia="黑体" w:cs="黑体"/>
          <w:i w:val="0"/>
          <w:caps w:val="0"/>
          <w:color w:val="595959"/>
          <w:spacing w:val="0"/>
          <w:sz w:val="32"/>
          <w:szCs w:val="32"/>
          <w:shd w:val="clear" w:fill="FFFFFF"/>
        </w:rPr>
        <w:t>四、政府信息公开行政复议、行政诉讼情况</w:t>
      </w:r>
    </w:p>
    <w:tbl>
      <w:tblPr>
        <w:tblW w:w="8522" w:type="dxa"/>
        <w:jc w:val="center"/>
        <w:tblInd w:w="0" w:type="dxa"/>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fixed"/>
        <w:tblCellMar>
          <w:top w:w="0" w:type="dxa"/>
          <w:left w:w="0" w:type="dxa"/>
          <w:bottom w:w="0" w:type="dxa"/>
          <w:right w:w="0" w:type="dxa"/>
        </w:tblCellMar>
      </w:tblPr>
      <w:tblGrid>
        <w:gridCol w:w="590"/>
        <w:gridCol w:w="492"/>
        <w:gridCol w:w="492"/>
        <w:gridCol w:w="492"/>
        <w:gridCol w:w="533"/>
        <w:gridCol w:w="640"/>
        <w:gridCol w:w="587"/>
        <w:gridCol w:w="587"/>
        <w:gridCol w:w="587"/>
        <w:gridCol w:w="587"/>
        <w:gridCol w:w="587"/>
        <w:gridCol w:w="587"/>
        <w:gridCol w:w="587"/>
        <w:gridCol w:w="587"/>
        <w:gridCol w:w="587"/>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shd w:val="clear"/>
          <w:tblLayout w:type="fixed"/>
          <w:tblCellMar>
            <w:top w:w="0" w:type="dxa"/>
            <w:left w:w="0" w:type="dxa"/>
            <w:bottom w:w="0" w:type="dxa"/>
            <w:right w:w="0" w:type="dxa"/>
          </w:tblCellMar>
        </w:tblPrEx>
        <w:trPr>
          <w:trHeight w:val="181" w:hRule="atLeast"/>
          <w:jc w:val="center"/>
        </w:trPr>
        <w:tc>
          <w:tcPr>
            <w:tcW w:w="2599" w:type="dxa"/>
            <w:gridSpan w:val="5"/>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行政复议</w:t>
            </w:r>
          </w:p>
        </w:tc>
        <w:tc>
          <w:tcPr>
            <w:tcW w:w="5923" w:type="dxa"/>
            <w:gridSpan w:val="10"/>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行政诉讼</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0"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结果维持</w:t>
            </w:r>
          </w:p>
        </w:tc>
        <w:tc>
          <w:tcPr>
            <w:tcW w:w="492" w:type="dxa"/>
            <w:vMerge w:val="restart"/>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结果纠正</w:t>
            </w:r>
          </w:p>
        </w:tc>
        <w:tc>
          <w:tcPr>
            <w:tcW w:w="492" w:type="dxa"/>
            <w:vMerge w:val="restart"/>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其他结果</w:t>
            </w:r>
          </w:p>
        </w:tc>
        <w:tc>
          <w:tcPr>
            <w:tcW w:w="492" w:type="dxa"/>
            <w:vMerge w:val="restart"/>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尚未审结</w:t>
            </w:r>
          </w:p>
        </w:tc>
        <w:tc>
          <w:tcPr>
            <w:tcW w:w="533" w:type="dxa"/>
            <w:vMerge w:val="restart"/>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总计</w:t>
            </w:r>
          </w:p>
        </w:tc>
        <w:tc>
          <w:tcPr>
            <w:tcW w:w="2988" w:type="dxa"/>
            <w:gridSpan w:val="5"/>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未经复议直接起诉</w:t>
            </w:r>
          </w:p>
        </w:tc>
        <w:tc>
          <w:tcPr>
            <w:tcW w:w="2935" w:type="dxa"/>
            <w:gridSpan w:val="5"/>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复议后起诉</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9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28"/>
                <w:szCs w:val="28"/>
              </w:rPr>
            </w:pPr>
          </w:p>
        </w:tc>
        <w:tc>
          <w:tcPr>
            <w:tcW w:w="492" w:type="dxa"/>
            <w:vMerge w:val="continue"/>
            <w:tcBorders>
              <w:top w:val="nil"/>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28"/>
                <w:szCs w:val="28"/>
              </w:rPr>
            </w:pPr>
          </w:p>
        </w:tc>
        <w:tc>
          <w:tcPr>
            <w:tcW w:w="492" w:type="dxa"/>
            <w:vMerge w:val="continue"/>
            <w:tcBorders>
              <w:top w:val="single" w:color="000000" w:sz="8" w:space="0"/>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28"/>
                <w:szCs w:val="28"/>
              </w:rPr>
            </w:pPr>
          </w:p>
        </w:tc>
        <w:tc>
          <w:tcPr>
            <w:tcW w:w="492" w:type="dxa"/>
            <w:vMerge w:val="continue"/>
            <w:tcBorders>
              <w:top w:val="single" w:color="000000" w:sz="8" w:space="0"/>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28"/>
                <w:szCs w:val="28"/>
              </w:rPr>
            </w:pPr>
          </w:p>
        </w:tc>
        <w:tc>
          <w:tcPr>
            <w:tcW w:w="533" w:type="dxa"/>
            <w:vMerge w:val="continue"/>
            <w:tcBorders>
              <w:top w:val="single" w:color="000000" w:sz="8" w:space="0"/>
              <w:left w:val="nil"/>
              <w:bottom w:val="single" w:color="000000" w:sz="8" w:space="0"/>
              <w:right w:val="single" w:color="000000" w:sz="8" w:space="0"/>
            </w:tcBorders>
            <w:shd w:val="clear"/>
            <w:tcMar>
              <w:right w:w="108" w:type="dxa"/>
            </w:tcMar>
            <w:vAlign w:val="center"/>
          </w:tcPr>
          <w:p>
            <w:pPr>
              <w:keepNext w:val="0"/>
              <w:keepLines w:val="0"/>
              <w:pageBreakBefore w:val="0"/>
              <w:widowControl/>
              <w:kinsoku/>
              <w:overflowPunct/>
              <w:topLinePunct w:val="0"/>
              <w:autoSpaceDE/>
              <w:autoSpaceDN/>
              <w:bidi w:val="0"/>
              <w:adjustRightInd/>
              <w:snapToGrid/>
              <w:spacing w:before="0" w:after="0" w:line="400" w:lineRule="exact"/>
              <w:textAlignment w:val="auto"/>
              <w:rPr>
                <w:rFonts w:hint="eastAsia" w:ascii="仿宋" w:hAnsi="仿宋" w:eastAsia="仿宋" w:cs="仿宋"/>
                <w:sz w:val="28"/>
                <w:szCs w:val="28"/>
              </w:rPr>
            </w:pPr>
          </w:p>
        </w:tc>
        <w:tc>
          <w:tcPr>
            <w:tcW w:w="640"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结果维持</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结果纠正</w:t>
            </w:r>
          </w:p>
        </w:tc>
        <w:tc>
          <w:tcPr>
            <w:tcW w:w="587"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其他结果</w:t>
            </w:r>
          </w:p>
        </w:tc>
        <w:tc>
          <w:tcPr>
            <w:tcW w:w="587"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尚未审结</w:t>
            </w:r>
          </w:p>
        </w:tc>
        <w:tc>
          <w:tcPr>
            <w:tcW w:w="587"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总计</w:t>
            </w:r>
          </w:p>
        </w:tc>
        <w:tc>
          <w:tcPr>
            <w:tcW w:w="587"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结果维持</w:t>
            </w:r>
          </w:p>
        </w:tc>
        <w:tc>
          <w:tcPr>
            <w:tcW w:w="587"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结果纠正</w:t>
            </w:r>
          </w:p>
        </w:tc>
        <w:tc>
          <w:tcPr>
            <w:tcW w:w="587"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其他结果</w:t>
            </w:r>
          </w:p>
        </w:tc>
        <w:tc>
          <w:tcPr>
            <w:tcW w:w="587"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尚未审结</w:t>
            </w:r>
          </w:p>
        </w:tc>
        <w:tc>
          <w:tcPr>
            <w:tcW w:w="587" w:type="dxa"/>
            <w:tcBorders>
              <w:top w:val="single" w:color="000000" w:sz="8" w:space="0"/>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总计</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fixed"/>
          <w:tblCellMar>
            <w:top w:w="0" w:type="dxa"/>
            <w:left w:w="0" w:type="dxa"/>
            <w:bottom w:w="0" w:type="dxa"/>
            <w:right w:w="0" w:type="dxa"/>
          </w:tblCellMar>
        </w:tblPrEx>
        <w:trPr>
          <w:trHeight w:val="684" w:hRule="atLeast"/>
          <w:jc w:val="center"/>
        </w:trPr>
        <w:tc>
          <w:tcPr>
            <w:tcW w:w="59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492"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492"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492"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33"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640"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c>
          <w:tcPr>
            <w:tcW w:w="587" w:type="dxa"/>
            <w:tcBorders>
              <w:top w:val="nil"/>
              <w:left w:val="nil"/>
              <w:bottom w:val="single" w:color="000000" w:sz="8" w:space="0"/>
              <w:right w:val="single" w:color="000000" w:sz="8" w:space="0"/>
            </w:tcBorders>
            <w:shd w:val="clear"/>
            <w:tcMar>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rPr>
            </w:pPr>
            <w:r>
              <w:rPr>
                <w:rFonts w:hint="eastAsia" w:ascii="仿宋" w:hAnsi="仿宋" w:eastAsia="仿宋" w:cs="仿宋"/>
                <w:color w:val="595959"/>
                <w:sz w:val="28"/>
                <w:szCs w:val="28"/>
                <w:bdr w:val="none" w:color="auto" w:sz="0" w:space="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Style w:val="5"/>
          <w:rFonts w:hint="eastAsia" w:ascii="黑体" w:hAnsi="黑体" w:eastAsia="黑体" w:cs="黑体"/>
          <w:i w:val="0"/>
          <w:caps w:val="0"/>
          <w:color w:val="595959"/>
          <w:spacing w:val="0"/>
          <w:sz w:val="32"/>
          <w:szCs w:val="32"/>
          <w:shd w:val="clear" w:fill="FFFFFF"/>
        </w:rPr>
      </w:pPr>
      <w:r>
        <w:rPr>
          <w:rStyle w:val="5"/>
          <w:rFonts w:hint="eastAsia" w:ascii="黑体" w:hAnsi="黑体" w:eastAsia="黑体" w:cs="黑体"/>
          <w:i w:val="0"/>
          <w:caps w:val="0"/>
          <w:color w:val="595959"/>
          <w:spacing w:val="0"/>
          <w:sz w:val="32"/>
          <w:szCs w:val="32"/>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lang w:eastAsia="zh-CN"/>
        </w:rPr>
      </w:pPr>
      <w:r>
        <w:rPr>
          <w:rFonts w:hint="eastAsia" w:ascii="仿宋" w:hAnsi="仿宋" w:eastAsia="仿宋" w:cs="仿宋"/>
          <w:i w:val="0"/>
          <w:caps w:val="0"/>
          <w:color w:val="595959"/>
          <w:spacing w:val="0"/>
          <w:sz w:val="32"/>
          <w:szCs w:val="32"/>
          <w:bdr w:val="none" w:color="auto" w:sz="0" w:space="0"/>
          <w:shd w:val="clear" w:fill="FFFFFF"/>
        </w:rPr>
        <w:t>本</w:t>
      </w:r>
      <w:r>
        <w:rPr>
          <w:rFonts w:hint="eastAsia" w:ascii="仿宋" w:hAnsi="仿宋" w:eastAsia="仿宋" w:cs="仿宋"/>
          <w:i w:val="0"/>
          <w:caps w:val="0"/>
          <w:color w:val="595959"/>
          <w:spacing w:val="0"/>
          <w:sz w:val="32"/>
          <w:szCs w:val="32"/>
          <w:bdr w:val="none" w:color="auto" w:sz="0" w:space="0"/>
          <w:shd w:val="clear" w:fill="FFFFFF"/>
          <w:lang w:eastAsia="zh-CN"/>
        </w:rPr>
        <w:t>局</w:t>
      </w:r>
      <w:r>
        <w:rPr>
          <w:rFonts w:hint="eastAsia" w:ascii="仿宋" w:hAnsi="仿宋" w:eastAsia="仿宋" w:cs="仿宋"/>
          <w:i w:val="0"/>
          <w:caps w:val="0"/>
          <w:color w:val="595959"/>
          <w:spacing w:val="0"/>
          <w:sz w:val="32"/>
          <w:szCs w:val="32"/>
          <w:bdr w:val="none" w:color="auto" w:sz="0" w:space="0"/>
          <w:shd w:val="clear" w:fill="FFFFFF"/>
        </w:rPr>
        <w:t>在推进政府信息公开内容上取得了一定成绩，但仍存在一些不足：</w:t>
      </w:r>
      <w:r>
        <w:rPr>
          <w:rFonts w:hint="eastAsia" w:ascii="仿宋" w:hAnsi="仿宋" w:eastAsia="仿宋" w:cs="仿宋"/>
          <w:b/>
          <w:bCs/>
          <w:i w:val="0"/>
          <w:caps w:val="0"/>
          <w:color w:val="595959"/>
          <w:spacing w:val="0"/>
          <w:sz w:val="32"/>
          <w:szCs w:val="32"/>
          <w:bdr w:val="none" w:color="auto" w:sz="0" w:space="0"/>
          <w:shd w:val="clear" w:fill="FFFFFF"/>
          <w:lang w:eastAsia="zh-CN"/>
        </w:rPr>
        <w:t>一是</w:t>
      </w:r>
      <w:r>
        <w:rPr>
          <w:rFonts w:hint="eastAsia" w:ascii="仿宋" w:hAnsi="仿宋" w:eastAsia="仿宋" w:cs="仿宋"/>
          <w:i w:val="0"/>
          <w:caps w:val="0"/>
          <w:color w:val="595959"/>
          <w:spacing w:val="0"/>
          <w:sz w:val="32"/>
          <w:szCs w:val="32"/>
          <w:bdr w:val="none" w:color="auto" w:sz="0" w:space="0"/>
          <w:shd w:val="clear" w:fill="FFFFFF"/>
          <w:lang w:eastAsia="zh-CN"/>
        </w:rPr>
        <w:t>对局属单位信息公开的质量把关不够；</w:t>
      </w:r>
      <w:r>
        <w:rPr>
          <w:rFonts w:hint="eastAsia" w:ascii="仿宋" w:hAnsi="仿宋" w:eastAsia="仿宋" w:cs="仿宋"/>
          <w:b/>
          <w:bCs/>
          <w:i w:val="0"/>
          <w:caps w:val="0"/>
          <w:color w:val="595959"/>
          <w:spacing w:val="0"/>
          <w:sz w:val="32"/>
          <w:szCs w:val="32"/>
          <w:bdr w:val="none" w:color="auto" w:sz="0" w:space="0"/>
          <w:shd w:val="clear" w:fill="FFFFFF"/>
          <w:lang w:eastAsia="zh-CN"/>
        </w:rPr>
        <w:t>二</w:t>
      </w:r>
      <w:r>
        <w:rPr>
          <w:rFonts w:hint="eastAsia" w:ascii="仿宋" w:hAnsi="仿宋" w:eastAsia="仿宋" w:cs="仿宋"/>
          <w:b/>
          <w:bCs/>
          <w:i w:val="0"/>
          <w:caps w:val="0"/>
          <w:color w:val="595959"/>
          <w:spacing w:val="0"/>
          <w:sz w:val="32"/>
          <w:szCs w:val="32"/>
          <w:bdr w:val="none" w:color="auto" w:sz="0" w:space="0"/>
          <w:shd w:val="clear" w:fill="FFFFFF"/>
        </w:rPr>
        <w:t>是</w:t>
      </w:r>
      <w:r>
        <w:rPr>
          <w:rFonts w:hint="eastAsia" w:ascii="仿宋" w:hAnsi="仿宋" w:eastAsia="仿宋" w:cs="仿宋"/>
          <w:i w:val="0"/>
          <w:caps w:val="0"/>
          <w:color w:val="595959"/>
          <w:spacing w:val="0"/>
          <w:sz w:val="32"/>
          <w:szCs w:val="32"/>
          <w:bdr w:val="none" w:color="auto" w:sz="0" w:space="0"/>
          <w:shd w:val="clear" w:fill="FFFFFF"/>
        </w:rPr>
        <w:t>对信息公开把握程度有待进一步加强</w:t>
      </w:r>
      <w:r>
        <w:rPr>
          <w:rFonts w:hint="eastAsia" w:ascii="仿宋" w:hAnsi="仿宋" w:eastAsia="仿宋" w:cs="仿宋"/>
          <w:i w:val="0"/>
          <w:caps w:val="0"/>
          <w:color w:val="595959"/>
          <w:spacing w:val="0"/>
          <w:sz w:val="32"/>
          <w:szCs w:val="32"/>
          <w:bdr w:val="none" w:color="auto" w:sz="0" w:space="0"/>
          <w:shd w:val="clear" w:fill="FFFFFF"/>
          <w:lang w:eastAsia="zh-CN"/>
        </w:rPr>
        <w:t>；</w:t>
      </w:r>
      <w:r>
        <w:rPr>
          <w:rFonts w:hint="eastAsia" w:ascii="仿宋" w:hAnsi="仿宋" w:eastAsia="仿宋" w:cs="仿宋"/>
          <w:b/>
          <w:bCs/>
          <w:i w:val="0"/>
          <w:caps w:val="0"/>
          <w:color w:val="595959"/>
          <w:spacing w:val="0"/>
          <w:sz w:val="32"/>
          <w:szCs w:val="32"/>
          <w:bdr w:val="none" w:color="auto" w:sz="0" w:space="0"/>
          <w:shd w:val="clear" w:fill="FFFFFF"/>
          <w:lang w:eastAsia="zh-CN"/>
        </w:rPr>
        <w:t>三是</w:t>
      </w:r>
      <w:r>
        <w:rPr>
          <w:rFonts w:hint="eastAsia" w:ascii="仿宋" w:hAnsi="仿宋" w:eastAsia="仿宋" w:cs="仿宋"/>
          <w:i w:val="0"/>
          <w:caps w:val="0"/>
          <w:color w:val="595959"/>
          <w:spacing w:val="0"/>
          <w:sz w:val="32"/>
          <w:szCs w:val="32"/>
          <w:bdr w:val="none" w:color="auto" w:sz="0" w:space="0"/>
          <w:shd w:val="clear" w:fill="FFFFFF"/>
          <w:lang w:eastAsia="zh-CN"/>
        </w:rPr>
        <w:t>信息公开的渠道和领域有待进一步拓宽。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595959"/>
          <w:spacing w:val="0"/>
          <w:sz w:val="32"/>
          <w:szCs w:val="32"/>
          <w:bdr w:val="none" w:color="auto" w:sz="0" w:space="0"/>
          <w:shd w:val="clear" w:fill="FFFFFF"/>
        </w:rPr>
        <w:t>下一步，将重点做好几方面工作：</w:t>
      </w:r>
      <w:r>
        <w:rPr>
          <w:rFonts w:hint="eastAsia" w:ascii="仿宋" w:hAnsi="仿宋" w:eastAsia="仿宋" w:cs="仿宋"/>
          <w:b/>
          <w:bCs/>
          <w:i w:val="0"/>
          <w:caps w:val="0"/>
          <w:color w:val="595959"/>
          <w:spacing w:val="0"/>
          <w:sz w:val="32"/>
          <w:szCs w:val="32"/>
          <w:bdr w:val="none" w:color="auto" w:sz="0" w:space="0"/>
          <w:shd w:val="clear" w:fill="FFFFFF"/>
          <w:lang w:eastAsia="zh-CN"/>
        </w:rPr>
        <w:t>一是</w:t>
      </w:r>
      <w:r>
        <w:rPr>
          <w:rFonts w:hint="eastAsia" w:ascii="仿宋" w:hAnsi="仿宋" w:eastAsia="仿宋" w:cs="仿宋"/>
          <w:i w:val="0"/>
          <w:caps w:val="0"/>
          <w:color w:val="595959"/>
          <w:spacing w:val="0"/>
          <w:sz w:val="32"/>
          <w:szCs w:val="32"/>
          <w:bdr w:val="none" w:color="auto" w:sz="0" w:space="0"/>
          <w:shd w:val="clear" w:fill="FFFFFF"/>
          <w:lang w:eastAsia="zh-CN"/>
        </w:rPr>
        <w:t>加强指导，对局属单位信息公开内容进行严格把关，确保信息公开展现单位资质、实力及参与的重大项目，为促进地勘经济发展提供助力；</w:t>
      </w:r>
      <w:r>
        <w:rPr>
          <w:rFonts w:hint="eastAsia" w:ascii="仿宋" w:hAnsi="仿宋" w:eastAsia="仿宋" w:cs="仿宋"/>
          <w:b/>
          <w:bCs/>
          <w:i w:val="0"/>
          <w:caps w:val="0"/>
          <w:color w:val="595959"/>
          <w:spacing w:val="0"/>
          <w:sz w:val="32"/>
          <w:szCs w:val="32"/>
          <w:bdr w:val="none" w:color="auto" w:sz="0" w:space="0"/>
          <w:shd w:val="clear" w:fill="FFFFFF"/>
          <w:lang w:eastAsia="zh-CN"/>
        </w:rPr>
        <w:t>二</w:t>
      </w:r>
      <w:r>
        <w:rPr>
          <w:rFonts w:hint="eastAsia" w:ascii="仿宋" w:hAnsi="仿宋" w:eastAsia="仿宋" w:cs="仿宋"/>
          <w:b/>
          <w:bCs/>
          <w:i w:val="0"/>
          <w:caps w:val="0"/>
          <w:color w:val="595959"/>
          <w:spacing w:val="0"/>
          <w:sz w:val="32"/>
          <w:szCs w:val="32"/>
          <w:bdr w:val="none" w:color="auto" w:sz="0" w:space="0"/>
          <w:shd w:val="clear" w:fill="FFFFFF"/>
        </w:rPr>
        <w:t>是</w:t>
      </w:r>
      <w:r>
        <w:rPr>
          <w:rFonts w:hint="eastAsia" w:ascii="仿宋" w:hAnsi="仿宋" w:eastAsia="仿宋" w:cs="仿宋"/>
          <w:i w:val="0"/>
          <w:caps w:val="0"/>
          <w:color w:val="595959"/>
          <w:spacing w:val="0"/>
          <w:sz w:val="32"/>
          <w:szCs w:val="32"/>
          <w:bdr w:val="none" w:color="auto" w:sz="0" w:space="0"/>
          <w:shd w:val="clear" w:fill="FFFFFF"/>
          <w:lang w:eastAsia="zh-CN"/>
        </w:rPr>
        <w:t>注重保障，</w:t>
      </w:r>
      <w:r>
        <w:rPr>
          <w:rFonts w:hint="eastAsia" w:ascii="仿宋" w:hAnsi="仿宋" w:eastAsia="仿宋" w:cs="仿宋"/>
          <w:i w:val="0"/>
          <w:caps w:val="0"/>
          <w:color w:val="595959"/>
          <w:spacing w:val="0"/>
          <w:sz w:val="32"/>
          <w:szCs w:val="32"/>
          <w:bdr w:val="none" w:color="auto" w:sz="0" w:space="0"/>
          <w:shd w:val="clear" w:fill="FFFFFF"/>
        </w:rPr>
        <w:t>进一步加强政务公开及信息公开工作制度保障，根据《中华人民共和国政府信息公开条例》，不断完善重大决策事项预公开工作制度，</w:t>
      </w:r>
      <w:r>
        <w:rPr>
          <w:rFonts w:hint="eastAsia" w:ascii="仿宋" w:hAnsi="仿宋" w:eastAsia="仿宋" w:cs="仿宋"/>
          <w:i w:val="0"/>
          <w:caps w:val="0"/>
          <w:color w:val="595959"/>
          <w:spacing w:val="0"/>
          <w:sz w:val="32"/>
          <w:szCs w:val="32"/>
          <w:bdr w:val="none" w:color="auto" w:sz="0" w:space="0"/>
          <w:shd w:val="clear" w:fill="FFFFFF"/>
          <w:lang w:eastAsia="zh-CN"/>
        </w:rPr>
        <w:t>不断加大重大项目中标的公开力度，</w:t>
      </w:r>
      <w:r>
        <w:rPr>
          <w:rFonts w:hint="eastAsia" w:ascii="仿宋" w:hAnsi="仿宋" w:eastAsia="仿宋" w:cs="仿宋"/>
          <w:i w:val="0"/>
          <w:caps w:val="0"/>
          <w:color w:val="595959"/>
          <w:spacing w:val="0"/>
          <w:sz w:val="32"/>
          <w:szCs w:val="32"/>
          <w:bdr w:val="none" w:color="auto" w:sz="0" w:space="0"/>
          <w:shd w:val="clear" w:fill="FFFFFF"/>
        </w:rPr>
        <w:t>以制度促公开、促规范</w:t>
      </w:r>
      <w:r>
        <w:rPr>
          <w:rFonts w:hint="eastAsia" w:ascii="仿宋" w:hAnsi="仿宋" w:eastAsia="仿宋" w:cs="仿宋"/>
          <w:i w:val="0"/>
          <w:caps w:val="0"/>
          <w:color w:val="595959"/>
          <w:spacing w:val="0"/>
          <w:sz w:val="32"/>
          <w:szCs w:val="32"/>
          <w:bdr w:val="none" w:color="auto" w:sz="0" w:space="0"/>
          <w:shd w:val="clear" w:fill="FFFFFF"/>
          <w:lang w:eastAsia="zh-CN"/>
        </w:rPr>
        <w:t>、促提升</w:t>
      </w:r>
      <w:r>
        <w:rPr>
          <w:rFonts w:hint="eastAsia" w:ascii="仿宋" w:hAnsi="仿宋" w:eastAsia="仿宋" w:cs="仿宋"/>
          <w:i w:val="0"/>
          <w:caps w:val="0"/>
          <w:color w:val="595959"/>
          <w:spacing w:val="0"/>
          <w:sz w:val="32"/>
          <w:szCs w:val="32"/>
          <w:bdr w:val="none" w:color="auto" w:sz="0" w:space="0"/>
          <w:shd w:val="clear" w:fill="FFFFFF"/>
        </w:rPr>
        <w:t>；</w:t>
      </w:r>
      <w:bookmarkStart w:id="0" w:name="_GoBack"/>
      <w:r>
        <w:rPr>
          <w:rFonts w:hint="eastAsia" w:ascii="仿宋" w:hAnsi="仿宋" w:eastAsia="仿宋" w:cs="仿宋"/>
          <w:b/>
          <w:bCs/>
          <w:i w:val="0"/>
          <w:caps w:val="0"/>
          <w:color w:val="595959"/>
          <w:spacing w:val="0"/>
          <w:sz w:val="32"/>
          <w:szCs w:val="32"/>
          <w:bdr w:val="none" w:color="auto" w:sz="0" w:space="0"/>
          <w:shd w:val="clear" w:fill="FFFFFF"/>
          <w:lang w:eastAsia="zh-CN"/>
        </w:rPr>
        <w:t>三</w:t>
      </w:r>
      <w:r>
        <w:rPr>
          <w:rFonts w:hint="eastAsia" w:ascii="仿宋" w:hAnsi="仿宋" w:eastAsia="仿宋" w:cs="仿宋"/>
          <w:b/>
          <w:bCs/>
          <w:i w:val="0"/>
          <w:caps w:val="0"/>
          <w:color w:val="595959"/>
          <w:spacing w:val="0"/>
          <w:sz w:val="32"/>
          <w:szCs w:val="32"/>
          <w:bdr w:val="none" w:color="auto" w:sz="0" w:space="0"/>
          <w:shd w:val="clear" w:fill="FFFFFF"/>
        </w:rPr>
        <w:t>是</w:t>
      </w:r>
      <w:bookmarkEnd w:id="0"/>
      <w:r>
        <w:rPr>
          <w:rFonts w:hint="eastAsia" w:ascii="仿宋" w:hAnsi="仿宋" w:eastAsia="仿宋" w:cs="仿宋"/>
          <w:i w:val="0"/>
          <w:caps w:val="0"/>
          <w:color w:val="595959"/>
          <w:spacing w:val="0"/>
          <w:sz w:val="32"/>
          <w:szCs w:val="32"/>
          <w:bdr w:val="none" w:color="auto" w:sz="0" w:space="0"/>
          <w:shd w:val="clear" w:fill="FFFFFF"/>
          <w:lang w:eastAsia="zh-CN"/>
        </w:rPr>
        <w:t>拓宽思路，不断</w:t>
      </w:r>
      <w:r>
        <w:rPr>
          <w:rFonts w:hint="eastAsia" w:ascii="仿宋" w:hAnsi="仿宋" w:eastAsia="仿宋" w:cs="仿宋"/>
          <w:i w:val="0"/>
          <w:caps w:val="0"/>
          <w:color w:val="595959"/>
          <w:spacing w:val="0"/>
          <w:sz w:val="32"/>
          <w:szCs w:val="32"/>
          <w:bdr w:val="none" w:color="auto" w:sz="0" w:space="0"/>
          <w:shd w:val="clear" w:fill="FFFFFF"/>
        </w:rPr>
        <w:t>拓宽公开渠道，引导公众</w:t>
      </w:r>
      <w:r>
        <w:rPr>
          <w:rFonts w:hint="eastAsia" w:ascii="仿宋" w:hAnsi="仿宋" w:eastAsia="仿宋" w:cs="仿宋"/>
          <w:i w:val="0"/>
          <w:caps w:val="0"/>
          <w:color w:val="595959"/>
          <w:spacing w:val="0"/>
          <w:sz w:val="32"/>
          <w:szCs w:val="32"/>
          <w:bdr w:val="none" w:color="auto" w:sz="0" w:space="0"/>
          <w:shd w:val="clear" w:fill="FFFFFF"/>
          <w:lang w:eastAsia="zh-CN"/>
        </w:rPr>
        <w:t>增加对地矿部门规章的认识，</w:t>
      </w:r>
      <w:r>
        <w:rPr>
          <w:rFonts w:hint="eastAsia" w:ascii="仿宋" w:hAnsi="仿宋" w:eastAsia="仿宋" w:cs="仿宋"/>
          <w:i w:val="0"/>
          <w:caps w:val="0"/>
          <w:color w:val="595959"/>
          <w:spacing w:val="0"/>
          <w:sz w:val="32"/>
          <w:szCs w:val="32"/>
          <w:bdr w:val="none" w:color="auto" w:sz="0" w:space="0"/>
          <w:shd w:val="clear" w:fill="FFFFFF"/>
        </w:rPr>
        <w:t>以开放促</w:t>
      </w:r>
      <w:r>
        <w:rPr>
          <w:rFonts w:hint="eastAsia" w:ascii="仿宋" w:hAnsi="仿宋" w:eastAsia="仿宋" w:cs="仿宋"/>
          <w:i w:val="0"/>
          <w:caps w:val="0"/>
          <w:color w:val="595959"/>
          <w:spacing w:val="0"/>
          <w:sz w:val="32"/>
          <w:szCs w:val="32"/>
          <w:bdr w:val="none" w:color="auto" w:sz="0" w:space="0"/>
          <w:shd w:val="clear" w:fill="FFFFFF"/>
          <w:lang w:eastAsia="zh-CN"/>
        </w:rPr>
        <w:t>业务</w:t>
      </w:r>
      <w:r>
        <w:rPr>
          <w:rFonts w:hint="eastAsia" w:ascii="仿宋" w:hAnsi="仿宋" w:eastAsia="仿宋" w:cs="仿宋"/>
          <w:i w:val="0"/>
          <w:caps w:val="0"/>
          <w:color w:val="595959"/>
          <w:spacing w:val="0"/>
          <w:sz w:val="32"/>
          <w:szCs w:val="32"/>
          <w:bdr w:val="none" w:color="auto" w:sz="0" w:space="0"/>
          <w:shd w:val="clear" w:fill="FFFFFF"/>
        </w:rPr>
        <w:t>、促</w:t>
      </w:r>
      <w:r>
        <w:rPr>
          <w:rFonts w:hint="eastAsia" w:ascii="仿宋" w:hAnsi="仿宋" w:eastAsia="仿宋" w:cs="仿宋"/>
          <w:i w:val="0"/>
          <w:caps w:val="0"/>
          <w:color w:val="595959"/>
          <w:spacing w:val="0"/>
          <w:sz w:val="32"/>
          <w:szCs w:val="32"/>
          <w:bdr w:val="none" w:color="auto" w:sz="0" w:space="0"/>
          <w:shd w:val="clear" w:fill="FFFFFF"/>
          <w:lang w:eastAsia="zh-CN"/>
        </w:rPr>
        <w:t>发展</w:t>
      </w:r>
      <w:r>
        <w:rPr>
          <w:rFonts w:hint="eastAsia" w:ascii="仿宋" w:hAnsi="仿宋" w:eastAsia="仿宋" w:cs="仿宋"/>
          <w:i w:val="0"/>
          <w:caps w:val="0"/>
          <w:color w:val="595959"/>
          <w:spacing w:val="0"/>
          <w:sz w:val="32"/>
          <w:szCs w:val="32"/>
          <w:bdr w:val="none" w:color="auto" w:sz="0" w:space="0"/>
          <w:shd w:val="clear" w:fill="FFFFFF"/>
        </w:rPr>
        <w:t>，不断</w:t>
      </w:r>
      <w:r>
        <w:rPr>
          <w:rFonts w:hint="eastAsia" w:ascii="仿宋" w:hAnsi="仿宋" w:eastAsia="仿宋" w:cs="仿宋"/>
          <w:i w:val="0"/>
          <w:caps w:val="0"/>
          <w:color w:val="595959"/>
          <w:spacing w:val="0"/>
          <w:sz w:val="32"/>
          <w:szCs w:val="32"/>
          <w:bdr w:val="none" w:color="auto" w:sz="0" w:space="0"/>
          <w:shd w:val="clear" w:fill="FFFFFF"/>
          <w:lang w:eastAsia="zh-CN"/>
        </w:rPr>
        <w:t>推进地勘经济高质量发展</w:t>
      </w:r>
      <w:r>
        <w:rPr>
          <w:rFonts w:hint="eastAsia" w:ascii="仿宋" w:hAnsi="仿宋" w:eastAsia="仿宋" w:cs="仿宋"/>
          <w:i w:val="0"/>
          <w:caps w:val="0"/>
          <w:color w:val="595959"/>
          <w:spacing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sz w:val="32"/>
          <w:szCs w:val="32"/>
        </w:rPr>
      </w:pPr>
      <w:r>
        <w:rPr>
          <w:rFonts w:hint="eastAsia" w:ascii="仿宋" w:hAnsi="仿宋" w:eastAsia="仿宋" w:cs="仿宋"/>
          <w:i w:val="0"/>
          <w:caps w:val="0"/>
          <w:color w:val="595959"/>
          <w:spacing w:val="0"/>
          <w:sz w:val="32"/>
          <w:szCs w:val="32"/>
          <w:bdr w:val="none" w:color="auto" w:sz="0" w:space="0"/>
          <w:shd w:val="clear" w:fill="FFFFFF"/>
        </w:rPr>
        <w:t>本年度报告统计数据期限自2021年1月1日起至12月31日止。如对本年度报告有相关疑问，请与自治区</w:t>
      </w:r>
      <w:r>
        <w:rPr>
          <w:rFonts w:hint="eastAsia" w:ascii="仿宋" w:hAnsi="仿宋" w:eastAsia="仿宋" w:cs="仿宋"/>
          <w:i w:val="0"/>
          <w:caps w:val="0"/>
          <w:color w:val="595959"/>
          <w:spacing w:val="0"/>
          <w:sz w:val="32"/>
          <w:szCs w:val="32"/>
          <w:bdr w:val="none" w:color="auto" w:sz="0" w:space="0"/>
          <w:shd w:val="clear" w:fill="FFFFFF"/>
          <w:lang w:eastAsia="zh-CN"/>
        </w:rPr>
        <w:t>地矿局</w:t>
      </w:r>
      <w:r>
        <w:rPr>
          <w:rFonts w:hint="eastAsia" w:ascii="仿宋" w:hAnsi="仿宋" w:eastAsia="仿宋" w:cs="仿宋"/>
          <w:i w:val="0"/>
          <w:caps w:val="0"/>
          <w:color w:val="595959"/>
          <w:spacing w:val="0"/>
          <w:sz w:val="32"/>
          <w:szCs w:val="32"/>
          <w:bdr w:val="none" w:color="auto" w:sz="0" w:space="0"/>
          <w:shd w:val="clear" w:fill="FFFFFF"/>
        </w:rPr>
        <w:t>办公室联系（地址：南宁市</w:t>
      </w:r>
      <w:r>
        <w:rPr>
          <w:rFonts w:hint="eastAsia" w:ascii="仿宋" w:hAnsi="仿宋" w:eastAsia="仿宋" w:cs="仿宋"/>
          <w:i w:val="0"/>
          <w:caps w:val="0"/>
          <w:color w:val="595959"/>
          <w:spacing w:val="0"/>
          <w:sz w:val="32"/>
          <w:szCs w:val="32"/>
          <w:bdr w:val="none" w:color="auto" w:sz="0" w:space="0"/>
          <w:shd w:val="clear" w:fill="FFFFFF"/>
          <w:lang w:eastAsia="zh-CN"/>
        </w:rPr>
        <w:t>园湖北路</w:t>
      </w:r>
      <w:r>
        <w:rPr>
          <w:rFonts w:hint="eastAsia" w:ascii="仿宋" w:hAnsi="仿宋" w:eastAsia="仿宋" w:cs="仿宋"/>
          <w:i w:val="0"/>
          <w:caps w:val="0"/>
          <w:color w:val="595959"/>
          <w:spacing w:val="0"/>
          <w:sz w:val="32"/>
          <w:szCs w:val="32"/>
          <w:bdr w:val="none" w:color="auto" w:sz="0" w:space="0"/>
          <w:shd w:val="clear" w:fill="FFFFFF"/>
          <w:lang w:val="en-US" w:eastAsia="zh-CN"/>
        </w:rPr>
        <w:t>21号</w:t>
      </w:r>
      <w:r>
        <w:rPr>
          <w:rFonts w:hint="eastAsia" w:ascii="仿宋" w:hAnsi="仿宋" w:eastAsia="仿宋" w:cs="仿宋"/>
          <w:i w:val="0"/>
          <w:caps w:val="0"/>
          <w:color w:val="595959"/>
          <w:spacing w:val="0"/>
          <w:sz w:val="32"/>
          <w:szCs w:val="32"/>
          <w:bdr w:val="none" w:color="auto" w:sz="0" w:space="0"/>
          <w:shd w:val="clear" w:fill="FFFFFF"/>
        </w:rPr>
        <w:t>，邮编：530022；电话：0771—</w:t>
      </w:r>
      <w:r>
        <w:rPr>
          <w:rFonts w:hint="eastAsia" w:ascii="仿宋" w:hAnsi="仿宋" w:eastAsia="仿宋" w:cs="仿宋"/>
          <w:i w:val="0"/>
          <w:caps w:val="0"/>
          <w:color w:val="595959"/>
          <w:spacing w:val="0"/>
          <w:sz w:val="32"/>
          <w:szCs w:val="32"/>
          <w:bdr w:val="none" w:color="auto" w:sz="0" w:space="0"/>
          <w:shd w:val="clear" w:fill="FFFFFF"/>
          <w:lang w:val="en-US" w:eastAsia="zh-CN"/>
        </w:rPr>
        <w:t>3195320</w:t>
      </w:r>
      <w:r>
        <w:rPr>
          <w:rFonts w:hint="eastAsia" w:ascii="仿宋" w:hAnsi="仿宋" w:eastAsia="仿宋" w:cs="仿宋"/>
          <w:i w:val="0"/>
          <w:caps w:val="0"/>
          <w:color w:val="595959"/>
          <w:spacing w:val="0"/>
          <w:sz w:val="32"/>
          <w:szCs w:val="32"/>
          <w:bdr w:val="none" w:color="auto" w:sz="0" w:space="0"/>
          <w:shd w:val="clear" w:fill="FFFFFF"/>
        </w:rPr>
        <w:t>，电子邮箱：</w:t>
      </w:r>
      <w:r>
        <w:rPr>
          <w:rFonts w:hint="eastAsia" w:ascii="仿宋" w:hAnsi="仿宋" w:eastAsia="仿宋" w:cs="仿宋"/>
          <w:i w:val="0"/>
          <w:caps w:val="0"/>
          <w:color w:val="595959"/>
          <w:spacing w:val="0"/>
          <w:sz w:val="32"/>
          <w:szCs w:val="32"/>
          <w:bdr w:val="none" w:color="auto" w:sz="0" w:space="0"/>
          <w:shd w:val="clear" w:fill="FFFFFF"/>
          <w:lang w:val="en-US" w:eastAsia="zh-CN"/>
        </w:rPr>
        <w:t>dkjxxb</w:t>
      </w:r>
      <w:r>
        <w:rPr>
          <w:rFonts w:hint="eastAsia" w:ascii="仿宋" w:hAnsi="仿宋" w:eastAsia="仿宋" w:cs="仿宋"/>
          <w:i w:val="0"/>
          <w:caps w:val="0"/>
          <w:color w:val="595959"/>
          <w:spacing w:val="0"/>
          <w:sz w:val="32"/>
          <w:szCs w:val="32"/>
          <w:bdr w:val="none" w:color="auto" w:sz="0" w:space="0"/>
          <w:shd w:val="clear" w:fill="FFFFFF"/>
        </w:rPr>
        <w:t>@</w:t>
      </w:r>
      <w:r>
        <w:rPr>
          <w:rFonts w:hint="eastAsia" w:ascii="仿宋" w:hAnsi="仿宋" w:eastAsia="仿宋" w:cs="仿宋"/>
          <w:i w:val="0"/>
          <w:caps w:val="0"/>
          <w:color w:val="595959"/>
          <w:spacing w:val="0"/>
          <w:sz w:val="32"/>
          <w:szCs w:val="32"/>
          <w:bdr w:val="none" w:color="auto" w:sz="0" w:space="0"/>
          <w:shd w:val="clear" w:fill="FFFFFF"/>
          <w:lang w:val="en-US" w:eastAsia="zh-CN"/>
        </w:rPr>
        <w:t>163.com</w:t>
      </w:r>
      <w:r>
        <w:rPr>
          <w:rFonts w:hint="eastAsia" w:ascii="仿宋" w:hAnsi="仿宋" w:eastAsia="仿宋" w:cs="仿宋"/>
          <w:i w:val="0"/>
          <w:caps w:val="0"/>
          <w:color w:val="595959"/>
          <w:spacing w:val="0"/>
          <w:sz w:val="32"/>
          <w:szCs w:val="32"/>
          <w:bdr w:val="none" w:color="auto" w:sz="0" w:space="0"/>
          <w:shd w:val="clear" w:fill="FFFFFF"/>
        </w:rPr>
        <w:t>）。</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75215"/>
    <w:rsid w:val="43C75215"/>
    <w:rsid w:val="58426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2022-01-30T01:51:00Z</dcterms:created>
  <dc:creator>Administrator</dc:creator>
  <cp:lastModifiedBy>Administrator</cp:lastModifiedBy>
  <dcterms:modified xsi:type="dcterms:W3CDTF">2022-01-30T02:35:27Z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