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54" w:rsidRDefault="007C7466" w:rsidP="007C7466">
      <w:pPr>
        <w:jc w:val="center"/>
        <w:rPr>
          <w:rFonts w:ascii="黑体" w:eastAsia="黑体"/>
          <w:sz w:val="32"/>
          <w:szCs w:val="32"/>
        </w:rPr>
      </w:pPr>
      <w:r w:rsidRPr="007C7466">
        <w:rPr>
          <w:rFonts w:ascii="黑体" w:eastAsia="黑体" w:hint="eastAsia"/>
          <w:sz w:val="32"/>
          <w:szCs w:val="32"/>
        </w:rPr>
        <w:t>广西地质矿产勘查开发局统计月报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</w:t>
      </w:r>
      <w:r w:rsidR="0029037B">
        <w:rPr>
          <w:rFonts w:ascii="黑体" w:eastAsia="黑体" w:hint="eastAsia"/>
          <w:sz w:val="32"/>
          <w:szCs w:val="32"/>
        </w:rPr>
        <w:t>201</w:t>
      </w:r>
      <w:r w:rsidR="00C42F2D">
        <w:rPr>
          <w:rFonts w:ascii="黑体" w:eastAsia="黑体" w:hint="eastAsia"/>
          <w:sz w:val="32"/>
          <w:szCs w:val="32"/>
        </w:rPr>
        <w:t>8</w:t>
      </w:r>
      <w:r w:rsidR="0029037B">
        <w:rPr>
          <w:rFonts w:ascii="黑体" w:eastAsia="黑体" w:hint="eastAsia"/>
          <w:sz w:val="32"/>
          <w:szCs w:val="32"/>
        </w:rPr>
        <w:t>年</w:t>
      </w:r>
      <w:r w:rsidR="00C42F2D">
        <w:rPr>
          <w:rFonts w:ascii="黑体" w:eastAsia="黑体" w:hint="eastAsia"/>
          <w:sz w:val="32"/>
          <w:szCs w:val="32"/>
        </w:rPr>
        <w:t>3</w:t>
      </w:r>
      <w:r>
        <w:rPr>
          <w:rFonts w:ascii="黑体" w:eastAsia="黑体" w:hint="eastAsia"/>
          <w:sz w:val="32"/>
          <w:szCs w:val="32"/>
        </w:rPr>
        <w:t>月）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</w:p>
    <w:p w:rsidR="007C7466" w:rsidRPr="009B4BCE" w:rsidRDefault="007C7466" w:rsidP="009B4BCE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9B4BCE">
        <w:rPr>
          <w:rFonts w:asciiTheme="minorEastAsia" w:hAnsiTheme="minorEastAsia" w:hint="eastAsia"/>
          <w:sz w:val="28"/>
          <w:szCs w:val="28"/>
        </w:rPr>
        <w:t>主要经济指标完成情况</w:t>
      </w:r>
    </w:p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3130"/>
        <w:gridCol w:w="2130"/>
        <w:gridCol w:w="1701"/>
      </w:tblGrid>
      <w:tr w:rsidR="00677EE5" w:rsidRPr="00677EE5" w:rsidTr="00677EE5">
        <w:trPr>
          <w:trHeight w:val="255"/>
        </w:trPr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C42F2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>1—</w:t>
            </w:r>
            <w:r w:rsidR="00C42F2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</w:t>
            </w: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月累计（万元）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同比增长</w:t>
            </w: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>%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一、总产值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E9" w:rsidRPr="00DA6ABD" w:rsidRDefault="00863D62" w:rsidP="003E5C45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88464.74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863D62" w:rsidP="00863D62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23</w:t>
            </w:r>
            <w:r w:rsidR="00DA6ABD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95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二、总收入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5BD" w:rsidRPr="00DA6ABD" w:rsidRDefault="00863D62" w:rsidP="003E5C45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86072.48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B99" w:rsidRPr="00DA6ABD" w:rsidRDefault="003E5C45" w:rsidP="00863D62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</w:t>
            </w:r>
            <w:r w:rsidR="00863D62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5</w:t>
            </w:r>
            <w:r w:rsidR="00DA6ABD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863D62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13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   其中：财政资金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DA6ABD" w:rsidRDefault="00863D62" w:rsidP="003E5C45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20528.44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B99" w:rsidRPr="00DA6ABD" w:rsidRDefault="003E5C45" w:rsidP="003E5C45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10．0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社会资金地勘业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DA6ABD" w:rsidRDefault="00863D62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22823.17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863D62" w:rsidP="00863D62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39</w:t>
            </w:r>
            <w:r w:rsidR="00DA6ABD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85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采矿业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DA6ABD" w:rsidRDefault="00677EE5" w:rsidP="00677EE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DA6ABD">
              <w:rPr>
                <w:rFonts w:asciiTheme="majorEastAsia" w:eastAsiaTheme="majorEastAsia" w:hAnsiTheme="majorEastAsia" w:cs="Arial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677EE5" w:rsidP="00677EE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制造业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456" w:rsidRPr="00DA6ABD" w:rsidRDefault="00863D62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2140.36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863D62" w:rsidP="00863D62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-25.81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863D62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29641.26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6ABD" w:rsidRPr="00DA6ABD" w:rsidRDefault="00863D62" w:rsidP="00863D62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39</w:t>
            </w:r>
            <w:r w:rsidR="00DA6ABD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06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批发和零售业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863D62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232.77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863D62" w:rsidP="003E5C45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10.01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住宿及餐饮业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0D4" w:rsidRPr="00DA6ABD" w:rsidRDefault="00863D62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574.58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3E5C45" w:rsidP="00863D62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</w:t>
            </w:r>
            <w:r w:rsidR="00863D62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</w:t>
            </w:r>
            <w:r w:rsidR="00DA6ABD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863D62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42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其它产业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863D62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10131.9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DA6ABD" w:rsidP="00863D62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3.</w:t>
            </w:r>
            <w:r w:rsidR="00863D62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</w:t>
            </w:r>
            <w:r w:rsidR="003E5C45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</w:t>
            </w:r>
          </w:p>
        </w:tc>
      </w:tr>
    </w:tbl>
    <w:p w:rsidR="009B4BCE" w:rsidRPr="009B4BCE" w:rsidRDefault="009B4BCE" w:rsidP="009B4BCE">
      <w:pPr>
        <w:pStyle w:val="a4"/>
        <w:ind w:left="720" w:firstLineChars="0" w:firstLine="0"/>
        <w:rPr>
          <w:rFonts w:asciiTheme="minorEastAsia" w:hAnsiTheme="minorEastAsia"/>
          <w:sz w:val="28"/>
          <w:szCs w:val="28"/>
        </w:rPr>
      </w:pPr>
    </w:p>
    <w:p w:rsidR="007C7466" w:rsidRDefault="007C7466" w:rsidP="007C74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二、分析图表</w:t>
      </w:r>
    </w:p>
    <w:p w:rsidR="007C7466" w:rsidRDefault="00A02B99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drawing>
          <wp:inline distT="0" distB="0" distL="0" distR="0" wp14:anchorId="56C23AA5" wp14:editId="586453C1">
            <wp:extent cx="4823460" cy="2811780"/>
            <wp:effectExtent l="0" t="0" r="15240" b="2667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21B25" w:rsidRDefault="00621B25" w:rsidP="007C7466">
      <w:pPr>
        <w:rPr>
          <w:rFonts w:ascii="黑体" w:eastAsia="黑体"/>
          <w:sz w:val="32"/>
          <w:szCs w:val="32"/>
        </w:rPr>
      </w:pPr>
    </w:p>
    <w:p w:rsidR="00A97B44" w:rsidRDefault="00581AE5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ED942BB" wp14:editId="6FEB3896">
            <wp:extent cx="5274310" cy="2579772"/>
            <wp:effectExtent l="0" t="0" r="21590" b="1143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p w:rsidR="007E279A" w:rsidRPr="007C7466" w:rsidRDefault="007E279A" w:rsidP="007C7466">
      <w:pPr>
        <w:rPr>
          <w:rFonts w:ascii="黑体" w:eastAsia="黑体"/>
          <w:sz w:val="32"/>
          <w:szCs w:val="32"/>
        </w:rPr>
      </w:pPr>
    </w:p>
    <w:sectPr w:rsidR="007E279A" w:rsidRPr="007C7466" w:rsidSect="00CC7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B9E" w:rsidRDefault="00DF4B9E" w:rsidP="000B6456">
      <w:r>
        <w:separator/>
      </w:r>
    </w:p>
  </w:endnote>
  <w:endnote w:type="continuationSeparator" w:id="0">
    <w:p w:rsidR="00DF4B9E" w:rsidRDefault="00DF4B9E" w:rsidP="000B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B9E" w:rsidRDefault="00DF4B9E" w:rsidP="000B6456">
      <w:r>
        <w:separator/>
      </w:r>
    </w:p>
  </w:footnote>
  <w:footnote w:type="continuationSeparator" w:id="0">
    <w:p w:rsidR="00DF4B9E" w:rsidRDefault="00DF4B9E" w:rsidP="000B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96E75"/>
    <w:multiLevelType w:val="hybridMultilevel"/>
    <w:tmpl w:val="6180DD88"/>
    <w:lvl w:ilvl="0" w:tplc="DEAE5A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66"/>
    <w:rsid w:val="00005D61"/>
    <w:rsid w:val="00064BB7"/>
    <w:rsid w:val="000B40D4"/>
    <w:rsid w:val="000B6456"/>
    <w:rsid w:val="000D34EF"/>
    <w:rsid w:val="000E0D6C"/>
    <w:rsid w:val="000E226C"/>
    <w:rsid w:val="000E241C"/>
    <w:rsid w:val="00113584"/>
    <w:rsid w:val="00123065"/>
    <w:rsid w:val="0012640A"/>
    <w:rsid w:val="001C5FE9"/>
    <w:rsid w:val="001F119E"/>
    <w:rsid w:val="001F4C66"/>
    <w:rsid w:val="001F5764"/>
    <w:rsid w:val="002059F2"/>
    <w:rsid w:val="00206A46"/>
    <w:rsid w:val="00265FD4"/>
    <w:rsid w:val="0029037B"/>
    <w:rsid w:val="002A1FFC"/>
    <w:rsid w:val="002A42A2"/>
    <w:rsid w:val="002E2D9E"/>
    <w:rsid w:val="00302DE4"/>
    <w:rsid w:val="00335DDA"/>
    <w:rsid w:val="003567D0"/>
    <w:rsid w:val="003D6251"/>
    <w:rsid w:val="003E5C45"/>
    <w:rsid w:val="00501B5E"/>
    <w:rsid w:val="00505F89"/>
    <w:rsid w:val="005378C5"/>
    <w:rsid w:val="00562536"/>
    <w:rsid w:val="00581AE5"/>
    <w:rsid w:val="00582AE9"/>
    <w:rsid w:val="005A623D"/>
    <w:rsid w:val="005C0768"/>
    <w:rsid w:val="005C4AFD"/>
    <w:rsid w:val="005F033E"/>
    <w:rsid w:val="00621B25"/>
    <w:rsid w:val="00677EE5"/>
    <w:rsid w:val="006A7EC2"/>
    <w:rsid w:val="006D15BD"/>
    <w:rsid w:val="00705543"/>
    <w:rsid w:val="00717961"/>
    <w:rsid w:val="0075027E"/>
    <w:rsid w:val="007638C3"/>
    <w:rsid w:val="007B4148"/>
    <w:rsid w:val="007B51C8"/>
    <w:rsid w:val="007C1F4C"/>
    <w:rsid w:val="007C7466"/>
    <w:rsid w:val="007E279A"/>
    <w:rsid w:val="007E4B79"/>
    <w:rsid w:val="007F2F08"/>
    <w:rsid w:val="007F55CB"/>
    <w:rsid w:val="00832616"/>
    <w:rsid w:val="00844400"/>
    <w:rsid w:val="00863D62"/>
    <w:rsid w:val="0088163C"/>
    <w:rsid w:val="00900ED0"/>
    <w:rsid w:val="009210CD"/>
    <w:rsid w:val="00974C2D"/>
    <w:rsid w:val="009B4BCE"/>
    <w:rsid w:val="00A02B99"/>
    <w:rsid w:val="00A34EDF"/>
    <w:rsid w:val="00A97B44"/>
    <w:rsid w:val="00B13348"/>
    <w:rsid w:val="00B25B9C"/>
    <w:rsid w:val="00B30185"/>
    <w:rsid w:val="00B30410"/>
    <w:rsid w:val="00B513ED"/>
    <w:rsid w:val="00C40C20"/>
    <w:rsid w:val="00C41B55"/>
    <w:rsid w:val="00C42F2D"/>
    <w:rsid w:val="00C44E71"/>
    <w:rsid w:val="00C64565"/>
    <w:rsid w:val="00CC785B"/>
    <w:rsid w:val="00CD2A15"/>
    <w:rsid w:val="00D43057"/>
    <w:rsid w:val="00D54F96"/>
    <w:rsid w:val="00D92AD7"/>
    <w:rsid w:val="00D97C6C"/>
    <w:rsid w:val="00DA6ABD"/>
    <w:rsid w:val="00DD2C6C"/>
    <w:rsid w:val="00DF4B9E"/>
    <w:rsid w:val="00E042C3"/>
    <w:rsid w:val="00E11856"/>
    <w:rsid w:val="00E43035"/>
    <w:rsid w:val="00EC1111"/>
    <w:rsid w:val="00ED244E"/>
    <w:rsid w:val="00EE31A5"/>
    <w:rsid w:val="00EF6D54"/>
    <w:rsid w:val="00F438DF"/>
    <w:rsid w:val="00F731F7"/>
    <w:rsid w:val="00FA4100"/>
    <w:rsid w:val="00FB3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="1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600" b="1">
                <a:latin typeface="黑体" panose="02010609060101010101" pitchFamily="49" charset="-122"/>
                <a:ea typeface="黑体" panose="02010609060101010101" pitchFamily="49" charset="-122"/>
              </a:rPr>
              <a:t>总收入构成情况</a:t>
            </a:r>
            <a:r>
              <a:rPr lang="en-US" altLang="zh-CN" sz="1600" b="1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altLang="en-US" sz="1600" b="1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layout>
        <c:manualLayout>
          <c:xMode val="edge"/>
          <c:yMode val="edge"/>
          <c:x val="0.34961119266871304"/>
          <c:y val="3.2806004512593821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41948040393256"/>
          <c:y val="0.2783978378242738"/>
          <c:w val="0.69703412073490822"/>
          <c:h val="0.57726423808140859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  <c:spPr>
              <a:solidFill>
                <a:schemeClr val="bg2"/>
              </a:solidFill>
            </c:spPr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  <c:spPr>
              <a:solidFill>
                <a:sysClr val="window" lastClr="FFFFFF"/>
              </a:solidFill>
            </c:spPr>
          </c:dPt>
          <c:dPt>
            <c:idx val="7"/>
            <c:bubble3D val="0"/>
          </c:dPt>
          <c:dLbls>
            <c:dLbl>
              <c:idx val="0"/>
              <c:layout>
                <c:manualLayout>
                  <c:x val="-5.0387139107611551E-3"/>
                  <c:y val="-0.12756926217556139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财政资金
</a:t>
                    </a:r>
                    <a:r>
                      <a:rPr lang="en-US" altLang="zh-CN"/>
                      <a:t>24%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8.1634842519685044E-2"/>
                  <c:y val="9.4058034412365116E-3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社会资金地勘业
</a:t>
                    </a:r>
                    <a:r>
                      <a:rPr lang="en-US" altLang="zh-CN"/>
                      <a:t>27%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4.6776027996500436E-2"/>
                  <c:y val="-8.6611647078049941E-3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制造业
</a:t>
                    </a:r>
                    <a:r>
                      <a:rPr lang="en-US" altLang="zh-CN"/>
                      <a:t>2%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1.1043744531933509E-2"/>
                  <c:y val="2.3126275882181396E-2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建筑业
</a:t>
                    </a:r>
                    <a:r>
                      <a:rPr lang="en-US" altLang="zh-CN"/>
                      <a:t>34%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0.11014599737532808"/>
                  <c:y val="-4.5841717701953923E-2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其它产业
</a:t>
                    </a:r>
                    <a:r>
                      <a:rPr lang="en-US" altLang="zh-CN"/>
                      <a:t>12%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700"/>
                </a:pPr>
                <a:endParaRPr lang="zh-CN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'ZSRWCQKYLB 总收入完成情况一览表'!$B$59:$B$66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总收入完成情况一览表'!$C$59:$C$66</c:f>
              <c:numCache>
                <c:formatCode>General</c:formatCode>
                <c:ptCount val="8"/>
                <c:pt idx="0">
                  <c:v>43795.96</c:v>
                </c:pt>
                <c:pt idx="1">
                  <c:v>40425.519999999997</c:v>
                </c:pt>
                <c:pt idx="3">
                  <c:v>6853.46</c:v>
                </c:pt>
                <c:pt idx="4">
                  <c:v>45002.55</c:v>
                </c:pt>
                <c:pt idx="5">
                  <c:v>521.05999999999995</c:v>
                </c:pt>
                <c:pt idx="6">
                  <c:v>1625.35</c:v>
                </c:pt>
                <c:pt idx="7">
                  <c:v>21607.68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6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600">
                <a:latin typeface="黑体" panose="02010609060101010101" pitchFamily="49" charset="-122"/>
                <a:ea typeface="黑体" panose="02010609060101010101" pitchFamily="49" charset="-122"/>
              </a:rPr>
              <a:t>各产业收入与去年同比增长情况</a:t>
            </a:r>
            <a:r>
              <a:rPr lang="en-US" altLang="zh-CN" sz="1600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sz="1600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277436312022178"/>
          <c:y val="0.33796296296296297"/>
          <c:w val="0.89722563687977819"/>
          <c:h val="0.4420683872849227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'ZSRWCQKYLB 总收入完成情况一览表'!$A$51:$A$58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总收入完成情况一览表'!$D$51:$D$58</c:f>
              <c:numCache>
                <c:formatCode>0.00</c:formatCode>
                <c:ptCount val="8"/>
                <c:pt idx="0">
                  <c:v>-13.153119765999037</c:v>
                </c:pt>
                <c:pt idx="1">
                  <c:v>39.853854025601578</c:v>
                </c:pt>
                <c:pt idx="2">
                  <c:v>0</c:v>
                </c:pt>
                <c:pt idx="3">
                  <c:v>-25.813830967169466</c:v>
                </c:pt>
                <c:pt idx="4">
                  <c:v>39.059064281120044</c:v>
                </c:pt>
                <c:pt idx="5">
                  <c:v>10.00992485467178</c:v>
                </c:pt>
                <c:pt idx="6">
                  <c:v>13.42334873070395</c:v>
                </c:pt>
                <c:pt idx="7">
                  <c:v>3.1581026541176271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8128384"/>
        <c:axId val="226203904"/>
        <c:axId val="0"/>
      </c:bar3DChart>
      <c:catAx>
        <c:axId val="178128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26203904"/>
        <c:crosses val="autoZero"/>
        <c:auto val="1"/>
        <c:lblAlgn val="ctr"/>
        <c:lblOffset val="100"/>
        <c:noMultiLvlLbl val="0"/>
      </c:catAx>
      <c:valAx>
        <c:axId val="226203904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178128384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800"/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</Words>
  <Characters>235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胡邕芳</dc:creator>
  <cp:lastModifiedBy>胡邕芳</cp:lastModifiedBy>
  <cp:revision>4</cp:revision>
  <cp:lastPrinted>2017-11-22T08:30:00Z</cp:lastPrinted>
  <dcterms:created xsi:type="dcterms:W3CDTF">2018-04-23T03:16:00Z</dcterms:created>
  <dcterms:modified xsi:type="dcterms:W3CDTF">2018-04-23T03:34:00Z</dcterms:modified>
</cp:coreProperties>
</file>