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165873">
        <w:rPr>
          <w:rFonts w:ascii="黑体" w:eastAsia="黑体" w:hint="eastAsia"/>
          <w:sz w:val="32"/>
          <w:szCs w:val="32"/>
        </w:rPr>
        <w:t>9</w:t>
      </w:r>
      <w:r w:rsidR="0029037B">
        <w:rPr>
          <w:rFonts w:ascii="黑体" w:eastAsia="黑体" w:hint="eastAsia"/>
          <w:sz w:val="32"/>
          <w:szCs w:val="32"/>
        </w:rPr>
        <w:t>年</w:t>
      </w:r>
      <w:r w:rsidR="00146A3B">
        <w:rPr>
          <w:rFonts w:ascii="黑体" w:eastAsia="黑体" w:hint="eastAsia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146A3B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</w:t>
            </w:r>
            <w:r w:rsidR="00146A3B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5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165873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FE9" w:rsidRPr="00DA6ABD" w:rsidRDefault="00D51AFC" w:rsidP="00146A3B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17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0995.61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51AFC" w:rsidP="005B3C7A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5B3C7A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 w:rsidR="0016587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5B3C7A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66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D51AFC" w:rsidP="00146A3B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69009.11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5B3C7A" w:rsidP="005B3C7A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18</w:t>
            </w:r>
            <w:r w:rsidR="00165873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61</w:t>
            </w:r>
            <w:bookmarkStart w:id="0" w:name="_GoBack"/>
            <w:bookmarkEnd w:id="0"/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51AFC" w:rsidP="00146A3B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7078.20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146A3B" w:rsidP="00D51AFC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8.63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146A3B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47498.11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51AFC" w:rsidP="00146A3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20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146A3B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4480.33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146A3B" w:rsidP="001A53B8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-3.52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146A3B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65349.36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146A3B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52.07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146A3B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244.27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DA44EB" w:rsidP="00146A3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34.56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873" w:rsidRPr="00DA6ABD" w:rsidRDefault="00146A3B" w:rsidP="0016587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968.11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165873" w:rsidP="00146A3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</w:t>
            </w:r>
            <w:r w:rsidR="00D51AFC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8.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27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146A3B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13390.73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165873" w:rsidP="00146A3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</w:t>
            </w:r>
            <w:r w:rsidR="00146A3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37.86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D51AFC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74670597" wp14:editId="2F4E56EF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146A3B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0286F8E" wp14:editId="4B4A79C5">
            <wp:extent cx="5274310" cy="2204344"/>
            <wp:effectExtent l="0" t="0" r="21590" b="2476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7B44" w:rsidRDefault="00A97B44" w:rsidP="007C7466">
      <w:pPr>
        <w:rPr>
          <w:rFonts w:ascii="黑体" w:eastAsia="黑体"/>
          <w:sz w:val="32"/>
          <w:szCs w:val="32"/>
        </w:rPr>
      </w:pP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79" w:rsidRDefault="00475A79" w:rsidP="000B6456">
      <w:r>
        <w:separator/>
      </w:r>
    </w:p>
  </w:endnote>
  <w:endnote w:type="continuationSeparator" w:id="0">
    <w:p w:rsidR="00475A79" w:rsidRDefault="00475A79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79" w:rsidRDefault="00475A79" w:rsidP="000B6456">
      <w:r>
        <w:separator/>
      </w:r>
    </w:p>
  </w:footnote>
  <w:footnote w:type="continuationSeparator" w:id="0">
    <w:p w:rsidR="00475A79" w:rsidRDefault="00475A79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64BB7"/>
    <w:rsid w:val="000B40D4"/>
    <w:rsid w:val="000B6456"/>
    <w:rsid w:val="000D34EF"/>
    <w:rsid w:val="000E0D6C"/>
    <w:rsid w:val="000E226C"/>
    <w:rsid w:val="000E241C"/>
    <w:rsid w:val="000E7FF5"/>
    <w:rsid w:val="00113584"/>
    <w:rsid w:val="00123065"/>
    <w:rsid w:val="0012640A"/>
    <w:rsid w:val="00146A3B"/>
    <w:rsid w:val="00165873"/>
    <w:rsid w:val="001970E7"/>
    <w:rsid w:val="001A53B8"/>
    <w:rsid w:val="001C5FE9"/>
    <w:rsid w:val="001F119E"/>
    <w:rsid w:val="001F4C66"/>
    <w:rsid w:val="001F5764"/>
    <w:rsid w:val="002059F2"/>
    <w:rsid w:val="00206A46"/>
    <w:rsid w:val="00235D74"/>
    <w:rsid w:val="00265FD4"/>
    <w:rsid w:val="0027497C"/>
    <w:rsid w:val="0029037B"/>
    <w:rsid w:val="002A1FFC"/>
    <w:rsid w:val="002A42A2"/>
    <w:rsid w:val="002B1F11"/>
    <w:rsid w:val="002E2D9E"/>
    <w:rsid w:val="00302DE4"/>
    <w:rsid w:val="00335DDA"/>
    <w:rsid w:val="003567D0"/>
    <w:rsid w:val="003D6251"/>
    <w:rsid w:val="003E5C45"/>
    <w:rsid w:val="00475A79"/>
    <w:rsid w:val="004F5ADB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B3C7A"/>
    <w:rsid w:val="005C0768"/>
    <w:rsid w:val="005C4AFD"/>
    <w:rsid w:val="005F033E"/>
    <w:rsid w:val="00621B25"/>
    <w:rsid w:val="00677EE5"/>
    <w:rsid w:val="006A7EC2"/>
    <w:rsid w:val="006B001E"/>
    <w:rsid w:val="006D15BD"/>
    <w:rsid w:val="00705543"/>
    <w:rsid w:val="00717961"/>
    <w:rsid w:val="0075027E"/>
    <w:rsid w:val="007638C3"/>
    <w:rsid w:val="007A2B63"/>
    <w:rsid w:val="007B4148"/>
    <w:rsid w:val="007B51C8"/>
    <w:rsid w:val="007C1F4C"/>
    <w:rsid w:val="007C7466"/>
    <w:rsid w:val="007E279A"/>
    <w:rsid w:val="007E4B79"/>
    <w:rsid w:val="007F2F08"/>
    <w:rsid w:val="007F55CB"/>
    <w:rsid w:val="00805F0F"/>
    <w:rsid w:val="00832616"/>
    <w:rsid w:val="00844400"/>
    <w:rsid w:val="008610BF"/>
    <w:rsid w:val="00863D62"/>
    <w:rsid w:val="0088163C"/>
    <w:rsid w:val="00900ED0"/>
    <w:rsid w:val="00910F8E"/>
    <w:rsid w:val="009210CD"/>
    <w:rsid w:val="00974C2D"/>
    <w:rsid w:val="009B4BCE"/>
    <w:rsid w:val="009C6309"/>
    <w:rsid w:val="00A02B99"/>
    <w:rsid w:val="00A34EDF"/>
    <w:rsid w:val="00A4111C"/>
    <w:rsid w:val="00A64F32"/>
    <w:rsid w:val="00A97B44"/>
    <w:rsid w:val="00AE6B23"/>
    <w:rsid w:val="00B13348"/>
    <w:rsid w:val="00B15F69"/>
    <w:rsid w:val="00B25B9C"/>
    <w:rsid w:val="00B30185"/>
    <w:rsid w:val="00B30410"/>
    <w:rsid w:val="00B513ED"/>
    <w:rsid w:val="00B80222"/>
    <w:rsid w:val="00BA7978"/>
    <w:rsid w:val="00BF7C7A"/>
    <w:rsid w:val="00C40C20"/>
    <w:rsid w:val="00C41B55"/>
    <w:rsid w:val="00C42F2D"/>
    <w:rsid w:val="00C44E71"/>
    <w:rsid w:val="00C64565"/>
    <w:rsid w:val="00CC785B"/>
    <w:rsid w:val="00CD2A15"/>
    <w:rsid w:val="00D43057"/>
    <w:rsid w:val="00D51AFC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083333333333334"/>
          <c:y val="0.35017351997666957"/>
          <c:w val="0.64166666666666672"/>
          <c:h val="0.542615923009623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0.11938987314085739"/>
                  <c:y val="8.088837853601632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财政资金
</a:t>
                    </a:r>
                    <a:r>
                      <a:rPr lang="en-US" altLang="zh-CN"/>
                      <a:t>22%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7264326334208225E-2"/>
                  <c:y val="6.412292213473315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28%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4.4650481189851265E-2"/>
                  <c:y val="0.1065084572761738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建筑业
</a:t>
                    </a:r>
                    <a:r>
                      <a:rPr lang="en-US" altLang="zh-CN"/>
                      <a:t>39%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0.17826662292213474"/>
                  <c:y val="0.1827427821522309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0393591426071741"/>
                  <c:y val="4.192475940507436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住宿及餐饮业
</a:t>
                    </a:r>
                    <a:r>
                      <a:rPr lang="en-US" altLang="zh-CN"/>
                      <a:t>0%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9.6684164479440074E-3"/>
                  <c:y val="-2.535724701079031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zh-CN" altLang="en-US"/>
                      <a:t>其它产业
</a:t>
                    </a:r>
                    <a:r>
                      <a:rPr lang="en-US" altLang="zh-CN"/>
                      <a:t>8%</a:t>
                    </a:r>
                    <a:endParaRPr lang="zh-CN" altLang="en-US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总收入完成情况一览表'!$B$48:$B$55</c:f>
              <c:numCache>
                <c:formatCode>0.00_ </c:formatCode>
                <c:ptCount val="8"/>
                <c:pt idx="0">
                  <c:v>30774.19</c:v>
                </c:pt>
                <c:pt idx="1">
                  <c:v>39361.65</c:v>
                </c:pt>
                <c:pt idx="3">
                  <c:v>3522.64</c:v>
                </c:pt>
                <c:pt idx="4">
                  <c:v>48621.56</c:v>
                </c:pt>
                <c:pt idx="5">
                  <c:v>120.71</c:v>
                </c:pt>
                <c:pt idx="6">
                  <c:v>765.78</c:v>
                </c:pt>
                <c:pt idx="7">
                  <c:v>8401.65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altLang="zh-CN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59620257005446"/>
          <c:y val="0.24891961970613655"/>
          <c:w val="0.89440381775056832"/>
          <c:h val="0.47730781707602021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总收入完成情况一览表'!$A$48:$A$55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总收入完成情况一览表'!$D$48:$D$55</c:f>
              <c:numCache>
                <c:formatCode>0.00</c:formatCode>
                <c:ptCount val="8"/>
                <c:pt idx="0">
                  <c:v>8.6250992409350147</c:v>
                </c:pt>
                <c:pt idx="1">
                  <c:v>26.198528546313099</c:v>
                </c:pt>
                <c:pt idx="2">
                  <c:v>0</c:v>
                </c:pt>
                <c:pt idx="3">
                  <c:v>-3.5174764787334141</c:v>
                </c:pt>
                <c:pt idx="4">
                  <c:v>52.071414459515211</c:v>
                </c:pt>
                <c:pt idx="5">
                  <c:v>-34.561187312473209</c:v>
                </c:pt>
                <c:pt idx="6">
                  <c:v>-18.265017518679556</c:v>
                </c:pt>
                <c:pt idx="7">
                  <c:v>-37.859100523551461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107584"/>
        <c:axId val="196564096"/>
        <c:axId val="0"/>
      </c:bar3DChart>
      <c:catAx>
        <c:axId val="189107584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crossAx val="196564096"/>
        <c:crosses val="autoZero"/>
        <c:auto val="1"/>
        <c:lblAlgn val="ctr"/>
        <c:lblOffset val="100"/>
        <c:noMultiLvlLbl val="0"/>
      </c:catAx>
      <c:valAx>
        <c:axId val="19656409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89107584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3</cp:revision>
  <cp:lastPrinted>2018-06-13T08:26:00Z</cp:lastPrinted>
  <dcterms:created xsi:type="dcterms:W3CDTF">2019-07-11T09:52:00Z</dcterms:created>
  <dcterms:modified xsi:type="dcterms:W3CDTF">2019-07-11T09:53:00Z</dcterms:modified>
</cp:coreProperties>
</file>