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20</w:t>
      </w:r>
      <w:r w:rsidR="0029037B">
        <w:rPr>
          <w:rFonts w:ascii="黑体" w:eastAsia="黑体" w:hint="eastAsia"/>
          <w:sz w:val="32"/>
          <w:szCs w:val="32"/>
        </w:rPr>
        <w:t>年</w:t>
      </w:r>
      <w:r w:rsidR="001F42FC"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1F42FC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1F42FC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230DA3" w:rsidP="00615E79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230DA3">
              <w:rPr>
                <w:rFonts w:asciiTheme="majorEastAsia" w:eastAsiaTheme="majorEastAsia" w:hAnsiTheme="majorEastAsia" w:cs="Arial"/>
                <w:kern w:val="0"/>
                <w:szCs w:val="21"/>
              </w:rPr>
              <w:t>3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38663.46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73794E" w:rsidRDefault="00615E79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311896.63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2.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40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E06" w:rsidRPr="0073794E" w:rsidRDefault="00615E79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71641.78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615E79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06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73794E" w:rsidRDefault="00615E79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82727.8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73794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.9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73794E" w:rsidRDefault="00615E79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8105.24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22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73794E" w:rsidRDefault="0073794E" w:rsidP="00615E79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87</w:t>
            </w:r>
            <w:r w:rsidR="00615E79">
              <w:rPr>
                <w:rFonts w:asciiTheme="minorEastAsia" w:hAnsiTheme="minorEastAsia" w:cs="Arial" w:hint="eastAsia"/>
                <w:color w:val="000000"/>
                <w:szCs w:val="21"/>
              </w:rPr>
              <w:t>598</w:t>
            </w: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.</w:t>
            </w:r>
            <w:r w:rsidR="00615E79">
              <w:rPr>
                <w:rFonts w:asciiTheme="minorEastAsia" w:hAnsiTheme="minorEastAsia" w:cs="Arial" w:hint="eastAsia"/>
                <w:color w:val="00000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352D52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86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73794E" w:rsidRDefault="00615E79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629.58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615E79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33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73794E" w:rsidRDefault="00615E79" w:rsidP="0073794E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1398.67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38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615E79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73794E" w:rsidRDefault="0073794E" w:rsidP="00615E79">
            <w:pPr>
              <w:jc w:val="right"/>
              <w:rPr>
                <w:rFonts w:asciiTheme="minorEastAsia" w:hAnsiTheme="minorEastAsia" w:cs="Arial"/>
                <w:kern w:val="0"/>
                <w:szCs w:val="21"/>
              </w:rPr>
            </w:pPr>
            <w:r w:rsidRPr="0073794E">
              <w:rPr>
                <w:rFonts w:asciiTheme="minorEastAsia" w:hAnsiTheme="minorEastAsia" w:cs="Arial" w:hint="eastAsia"/>
                <w:color w:val="000000"/>
                <w:szCs w:val="21"/>
              </w:rPr>
              <w:t>5</w:t>
            </w:r>
            <w:r w:rsidR="00615E79">
              <w:rPr>
                <w:rFonts w:asciiTheme="minorEastAsia" w:hAnsiTheme="minorEastAsia" w:cs="Arial" w:hint="eastAsia"/>
                <w:color w:val="000000"/>
                <w:szCs w:val="21"/>
              </w:rPr>
              <w:t>9795.02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615E79" w:rsidP="00615E7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29</w:t>
            </w:r>
            <w:r w:rsidR="0073794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62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0A515E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60BA592A" wp14:editId="67FB7B72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615E79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AE50BD2" wp14:editId="066C7D48">
            <wp:extent cx="5274310" cy="2666786"/>
            <wp:effectExtent l="0" t="0" r="21590" b="1968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9F" w:rsidRDefault="008B339F" w:rsidP="000B6456">
      <w:r>
        <w:separator/>
      </w:r>
    </w:p>
  </w:endnote>
  <w:endnote w:type="continuationSeparator" w:id="0">
    <w:p w:rsidR="008B339F" w:rsidRDefault="008B339F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9F" w:rsidRDefault="008B339F" w:rsidP="000B6456">
      <w:r>
        <w:separator/>
      </w:r>
    </w:p>
  </w:footnote>
  <w:footnote w:type="continuationSeparator" w:id="0">
    <w:p w:rsidR="008B339F" w:rsidRDefault="008B339F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6641A"/>
    <w:rsid w:val="00082D4B"/>
    <w:rsid w:val="000A515E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2FC"/>
    <w:rsid w:val="001F4C66"/>
    <w:rsid w:val="001F5764"/>
    <w:rsid w:val="00200195"/>
    <w:rsid w:val="002059F2"/>
    <w:rsid w:val="00206A46"/>
    <w:rsid w:val="00230916"/>
    <w:rsid w:val="00230DA3"/>
    <w:rsid w:val="00235D74"/>
    <w:rsid w:val="00265FD4"/>
    <w:rsid w:val="0029037B"/>
    <w:rsid w:val="00293E77"/>
    <w:rsid w:val="002A1FFC"/>
    <w:rsid w:val="002A42A2"/>
    <w:rsid w:val="002B1F11"/>
    <w:rsid w:val="002B7031"/>
    <w:rsid w:val="002E2D9E"/>
    <w:rsid w:val="002F057A"/>
    <w:rsid w:val="00302DE4"/>
    <w:rsid w:val="00307176"/>
    <w:rsid w:val="00335DDA"/>
    <w:rsid w:val="00352D52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47733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15E79"/>
    <w:rsid w:val="00621B25"/>
    <w:rsid w:val="00677EE5"/>
    <w:rsid w:val="006A7EC2"/>
    <w:rsid w:val="006B001E"/>
    <w:rsid w:val="006B06A0"/>
    <w:rsid w:val="006D15BD"/>
    <w:rsid w:val="00703E40"/>
    <w:rsid w:val="00705543"/>
    <w:rsid w:val="00717961"/>
    <w:rsid w:val="0073794E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44400"/>
    <w:rsid w:val="00847772"/>
    <w:rsid w:val="008610BF"/>
    <w:rsid w:val="00863D62"/>
    <w:rsid w:val="0087233A"/>
    <w:rsid w:val="0088163C"/>
    <w:rsid w:val="008B339F"/>
    <w:rsid w:val="00900ED0"/>
    <w:rsid w:val="00910F8E"/>
    <w:rsid w:val="009210CD"/>
    <w:rsid w:val="00974C2D"/>
    <w:rsid w:val="00987A05"/>
    <w:rsid w:val="009A3FCA"/>
    <w:rsid w:val="009B1CD9"/>
    <w:rsid w:val="009B4BCE"/>
    <w:rsid w:val="009C6309"/>
    <w:rsid w:val="00A02B99"/>
    <w:rsid w:val="00A23E06"/>
    <w:rsid w:val="00A34EDF"/>
    <w:rsid w:val="00A4111C"/>
    <w:rsid w:val="00A64F32"/>
    <w:rsid w:val="00A805DF"/>
    <w:rsid w:val="00A97B44"/>
    <w:rsid w:val="00AB626C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283"/>
    <w:rsid w:val="00C42F2D"/>
    <w:rsid w:val="00C44E71"/>
    <w:rsid w:val="00C64565"/>
    <w:rsid w:val="00CC785B"/>
    <w:rsid w:val="00CD2A15"/>
    <w:rsid w:val="00CF29F5"/>
    <w:rsid w:val="00D04A71"/>
    <w:rsid w:val="00D27E78"/>
    <w:rsid w:val="00D43057"/>
    <w:rsid w:val="00D51AFC"/>
    <w:rsid w:val="00D54F96"/>
    <w:rsid w:val="00D82D98"/>
    <w:rsid w:val="00D92AD7"/>
    <w:rsid w:val="00D97C6C"/>
    <w:rsid w:val="00DA0B02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72222222222221"/>
          <c:y val="0.32239574219889183"/>
          <c:w val="0.67222222222222228"/>
          <c:h val="0.570393700787401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6.730653980752406E-2"/>
                  <c:y val="-7.074584426946631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591426071741033E-2"/>
                  <c:y val="9.335629921259842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27%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1316710411198601E-3"/>
                  <c:y val="0.1216083406240886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28%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5690288713910761E-2"/>
                  <c:y val="8.61271507728200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6161417322834647E-3"/>
                  <c:y val="-4.3729950422863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7.618132108486439E-2"/>
                  <c:y val="-4.472149314669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19%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总收入完成情况一览表'!$A$82:$A$89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总收入完成情况一览表'!$B$82:$B$89</c:f>
              <c:numCache>
                <c:formatCode>0.00_ </c:formatCode>
                <c:ptCount val="8"/>
                <c:pt idx="0">
                  <c:v>44410.879999999997</c:v>
                </c:pt>
                <c:pt idx="1">
                  <c:v>49349.45</c:v>
                </c:pt>
                <c:pt idx="2" formatCode="General">
                  <c:v>0</c:v>
                </c:pt>
                <c:pt idx="3">
                  <c:v>4904.6899999999996</c:v>
                </c:pt>
                <c:pt idx="4">
                  <c:v>59683.89</c:v>
                </c:pt>
                <c:pt idx="5">
                  <c:v>325.83999999999997</c:v>
                </c:pt>
                <c:pt idx="6">
                  <c:v>524.48</c:v>
                </c:pt>
                <c:pt idx="7">
                  <c:v>29733.77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各产业收入与去年比较增长情况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33413695479076"/>
          <c:y val="0.20407407407407407"/>
          <c:w val="0.87630256716505939"/>
          <c:h val="0.5759572761738116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总收入完成情况一览表'!$A$51:$A$58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总收入完成情况一览表'!$D$51:$D$58</c:f>
              <c:numCache>
                <c:formatCode>General</c:formatCode>
                <c:ptCount val="8"/>
                <c:pt idx="0">
                  <c:v>3.06</c:v>
                </c:pt>
                <c:pt idx="1">
                  <c:v>-8.3000000000000007</c:v>
                </c:pt>
                <c:pt idx="2">
                  <c:v>0</c:v>
                </c:pt>
                <c:pt idx="3">
                  <c:v>-22.2</c:v>
                </c:pt>
                <c:pt idx="4">
                  <c:v>-12.86</c:v>
                </c:pt>
                <c:pt idx="5">
                  <c:v>33.840000000000003</c:v>
                </c:pt>
                <c:pt idx="6">
                  <c:v>-38.880000000000003</c:v>
                </c:pt>
                <c:pt idx="7">
                  <c:v>29.62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597888"/>
        <c:axId val="76599680"/>
        <c:axId val="0"/>
      </c:bar3DChart>
      <c:catAx>
        <c:axId val="7659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6599680"/>
        <c:crosses val="autoZero"/>
        <c:auto val="1"/>
        <c:lblAlgn val="ctr"/>
        <c:lblOffset val="100"/>
        <c:noMultiLvlLbl val="0"/>
      </c:catAx>
      <c:valAx>
        <c:axId val="765996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659788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331E-0AC0-41F0-8A68-DB9966F8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241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cp:lastPrinted>2019-12-16T01:29:00Z</cp:lastPrinted>
  <dcterms:created xsi:type="dcterms:W3CDTF">2020-11-10T01:56:00Z</dcterms:created>
  <dcterms:modified xsi:type="dcterms:W3CDTF">2020-11-10T02:02:00Z</dcterms:modified>
</cp:coreProperties>
</file>