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</w:t>
      </w:r>
      <w:r w:rsidR="00352D52">
        <w:rPr>
          <w:rFonts w:ascii="黑体" w:eastAsia="黑体" w:hint="eastAsia"/>
          <w:sz w:val="32"/>
          <w:szCs w:val="32"/>
        </w:rPr>
        <w:t>20</w:t>
      </w:r>
      <w:r w:rsidR="0029037B">
        <w:rPr>
          <w:rFonts w:ascii="黑体" w:eastAsia="黑体" w:hint="eastAsia"/>
          <w:sz w:val="32"/>
          <w:szCs w:val="32"/>
        </w:rPr>
        <w:t>年</w:t>
      </w:r>
      <w:r w:rsidR="00987A05">
        <w:rPr>
          <w:rFonts w:ascii="黑体" w:eastAsia="黑体" w:hint="eastAsia"/>
          <w:sz w:val="32"/>
          <w:szCs w:val="32"/>
        </w:rPr>
        <w:t>7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987A05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987A05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7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CF29F5" w:rsidP="007D1ED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230811.08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CF29F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9.73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DA6ABD" w:rsidRDefault="00CF29F5" w:rsidP="007D1ED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227157.80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A23E06" w:rsidP="00CF29F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5.83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E06" w:rsidRPr="00DA6ABD" w:rsidRDefault="00CF29F5" w:rsidP="00AB626C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51836.29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CF29F5" w:rsidP="00AB626C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5.51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CF29F5" w:rsidP="007D1ED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57391.38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352D52" w:rsidP="00CF29F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18.95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CF29F5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5958.01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00195" w:rsidP="00CF29F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14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CF29F5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67763.47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352D52" w:rsidP="00CF29F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7D1ED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2.87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CF29F5" w:rsidP="004721B1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428.21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CF29F5" w:rsidP="000A515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37.68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873" w:rsidRPr="00DA6ABD" w:rsidRDefault="00CF29F5" w:rsidP="0016587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733.59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200195" w:rsidP="00CF29F5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0A515E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</w:t>
            </w:r>
            <w:r w:rsidR="00A23E06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CF29F5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62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CF29F5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43046.85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CF29F5" w:rsidP="000A515E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74.44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0A515E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60BA592A" wp14:editId="67FB7B72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1B25" w:rsidRDefault="00621B25" w:rsidP="007C7466">
      <w:pPr>
        <w:rPr>
          <w:rFonts w:ascii="黑体" w:eastAsia="黑体"/>
          <w:sz w:val="32"/>
          <w:szCs w:val="32"/>
        </w:rPr>
      </w:pPr>
    </w:p>
    <w:p w:rsidR="00A97B44" w:rsidRDefault="00CF29F5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89C96C9" wp14:editId="4104D635">
            <wp:extent cx="5274310" cy="2565732"/>
            <wp:effectExtent l="0" t="0" r="21590" b="2540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77" w:rsidRDefault="00293E77" w:rsidP="000B6456">
      <w:r>
        <w:separator/>
      </w:r>
    </w:p>
  </w:endnote>
  <w:endnote w:type="continuationSeparator" w:id="0">
    <w:p w:rsidR="00293E77" w:rsidRDefault="00293E77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77" w:rsidRDefault="00293E77" w:rsidP="000B6456">
      <w:r>
        <w:separator/>
      </w:r>
    </w:p>
  </w:footnote>
  <w:footnote w:type="continuationSeparator" w:id="0">
    <w:p w:rsidR="00293E77" w:rsidRDefault="00293E77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30E89"/>
    <w:rsid w:val="00064BB7"/>
    <w:rsid w:val="0006641A"/>
    <w:rsid w:val="00082D4B"/>
    <w:rsid w:val="000A515E"/>
    <w:rsid w:val="000B40D4"/>
    <w:rsid w:val="000B6456"/>
    <w:rsid w:val="000D34EF"/>
    <w:rsid w:val="000E0D6C"/>
    <w:rsid w:val="000E226C"/>
    <w:rsid w:val="000E241C"/>
    <w:rsid w:val="000E7FF5"/>
    <w:rsid w:val="000F0A7C"/>
    <w:rsid w:val="00113584"/>
    <w:rsid w:val="00123065"/>
    <w:rsid w:val="0012640A"/>
    <w:rsid w:val="00146A3B"/>
    <w:rsid w:val="00165873"/>
    <w:rsid w:val="001970E7"/>
    <w:rsid w:val="001A53B8"/>
    <w:rsid w:val="001C5FE9"/>
    <w:rsid w:val="001F119E"/>
    <w:rsid w:val="001F4C66"/>
    <w:rsid w:val="001F5764"/>
    <w:rsid w:val="00200195"/>
    <w:rsid w:val="002059F2"/>
    <w:rsid w:val="00206A46"/>
    <w:rsid w:val="00230916"/>
    <w:rsid w:val="00235D74"/>
    <w:rsid w:val="00265FD4"/>
    <w:rsid w:val="0029037B"/>
    <w:rsid w:val="00293E77"/>
    <w:rsid w:val="002A1FFC"/>
    <w:rsid w:val="002A42A2"/>
    <w:rsid w:val="002B1F11"/>
    <w:rsid w:val="002B7031"/>
    <w:rsid w:val="002E2D9E"/>
    <w:rsid w:val="002F057A"/>
    <w:rsid w:val="00302DE4"/>
    <w:rsid w:val="00307176"/>
    <w:rsid w:val="00335DDA"/>
    <w:rsid w:val="00352D52"/>
    <w:rsid w:val="003567D0"/>
    <w:rsid w:val="003D6251"/>
    <w:rsid w:val="003E5C45"/>
    <w:rsid w:val="004E02F3"/>
    <w:rsid w:val="004F0D34"/>
    <w:rsid w:val="004F5ADB"/>
    <w:rsid w:val="004F5D03"/>
    <w:rsid w:val="00501B5E"/>
    <w:rsid w:val="00505F89"/>
    <w:rsid w:val="005378C5"/>
    <w:rsid w:val="00547733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B06A0"/>
    <w:rsid w:val="006D15BD"/>
    <w:rsid w:val="00703E40"/>
    <w:rsid w:val="00705543"/>
    <w:rsid w:val="00717961"/>
    <w:rsid w:val="00740A8E"/>
    <w:rsid w:val="007478DF"/>
    <w:rsid w:val="0075027E"/>
    <w:rsid w:val="007638C3"/>
    <w:rsid w:val="007A2B63"/>
    <w:rsid w:val="007B3206"/>
    <w:rsid w:val="007B4148"/>
    <w:rsid w:val="007B51C8"/>
    <w:rsid w:val="007C1F4C"/>
    <w:rsid w:val="007C7466"/>
    <w:rsid w:val="007D1ED3"/>
    <w:rsid w:val="007E279A"/>
    <w:rsid w:val="007E3C06"/>
    <w:rsid w:val="007E4B79"/>
    <w:rsid w:val="007F2F08"/>
    <w:rsid w:val="007F4EDB"/>
    <w:rsid w:val="007F55CB"/>
    <w:rsid w:val="00805F0F"/>
    <w:rsid w:val="00832616"/>
    <w:rsid w:val="00844400"/>
    <w:rsid w:val="00847772"/>
    <w:rsid w:val="008610BF"/>
    <w:rsid w:val="00863D62"/>
    <w:rsid w:val="0087233A"/>
    <w:rsid w:val="0088163C"/>
    <w:rsid w:val="00900ED0"/>
    <w:rsid w:val="00910F8E"/>
    <w:rsid w:val="009210CD"/>
    <w:rsid w:val="00974C2D"/>
    <w:rsid w:val="00987A05"/>
    <w:rsid w:val="009A3FCA"/>
    <w:rsid w:val="009B4BCE"/>
    <w:rsid w:val="009C6309"/>
    <w:rsid w:val="00A02B99"/>
    <w:rsid w:val="00A23E06"/>
    <w:rsid w:val="00A34EDF"/>
    <w:rsid w:val="00A4111C"/>
    <w:rsid w:val="00A64F32"/>
    <w:rsid w:val="00A805DF"/>
    <w:rsid w:val="00A97B44"/>
    <w:rsid w:val="00AB626C"/>
    <w:rsid w:val="00AE6B23"/>
    <w:rsid w:val="00B13348"/>
    <w:rsid w:val="00B15F69"/>
    <w:rsid w:val="00B25B9C"/>
    <w:rsid w:val="00B30185"/>
    <w:rsid w:val="00B30410"/>
    <w:rsid w:val="00B50636"/>
    <w:rsid w:val="00B513ED"/>
    <w:rsid w:val="00B80222"/>
    <w:rsid w:val="00BA7978"/>
    <w:rsid w:val="00BF7C7A"/>
    <w:rsid w:val="00C40C20"/>
    <w:rsid w:val="00C41B55"/>
    <w:rsid w:val="00C42283"/>
    <w:rsid w:val="00C42F2D"/>
    <w:rsid w:val="00C44E71"/>
    <w:rsid w:val="00C64565"/>
    <w:rsid w:val="00CC785B"/>
    <w:rsid w:val="00CD2A15"/>
    <w:rsid w:val="00CF29F5"/>
    <w:rsid w:val="00D04A71"/>
    <w:rsid w:val="00D27E78"/>
    <w:rsid w:val="00D43057"/>
    <w:rsid w:val="00D51AFC"/>
    <w:rsid w:val="00D54F96"/>
    <w:rsid w:val="00D92AD7"/>
    <w:rsid w:val="00D97C6C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72222222222221"/>
          <c:y val="0.32239574219889183"/>
          <c:w val="0.67222222222222228"/>
          <c:h val="0.570393700787401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dLbl>
              <c:idx val="0"/>
              <c:layout>
                <c:manualLayout>
                  <c:x val="6.730653980752406E-2"/>
                  <c:y val="-7.074584426946631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6591426071741033E-2"/>
                  <c:y val="9.335629921259842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25%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7.1316710411198601E-3"/>
                  <c:y val="0.12160834062408865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建筑业
</a:t>
                    </a:r>
                    <a:r>
                      <a:rPr lang="en-US" altLang="zh-CN"/>
                      <a:t>30%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5.5690288713910761E-2"/>
                  <c:y val="8.612715077282005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6161417322834647E-3"/>
                  <c:y val="-4.3729950422863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7.618132108486439E-2"/>
                  <c:y val="-4.472149314669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其它产业
</a:t>
                    </a:r>
                    <a:r>
                      <a:rPr lang="en-US" altLang="zh-CN"/>
                      <a:t>19%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总收入完成情况一览表'!$A$82:$A$89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总收入完成情况一览表'!$B$82:$B$89</c:f>
              <c:numCache>
                <c:formatCode>0.00_ </c:formatCode>
                <c:ptCount val="8"/>
                <c:pt idx="0">
                  <c:v>44410.879999999997</c:v>
                </c:pt>
                <c:pt idx="1">
                  <c:v>49349.45</c:v>
                </c:pt>
                <c:pt idx="2" formatCode="General">
                  <c:v>0</c:v>
                </c:pt>
                <c:pt idx="3">
                  <c:v>4904.6899999999996</c:v>
                </c:pt>
                <c:pt idx="4">
                  <c:v>59683.89</c:v>
                </c:pt>
                <c:pt idx="5">
                  <c:v>325.83999999999997</c:v>
                </c:pt>
                <c:pt idx="6">
                  <c:v>524.48</c:v>
                </c:pt>
                <c:pt idx="7">
                  <c:v>29733.77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各产业收入与去年比较增长情况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总收入完成情况一览表'!$A$81:$A$88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总收入完成情况一览表'!$D$81:$D$88</c:f>
              <c:numCache>
                <c:formatCode>0.00</c:formatCode>
                <c:ptCount val="8"/>
                <c:pt idx="0">
                  <c:v>5.514483021415046</c:v>
                </c:pt>
                <c:pt idx="1">
                  <c:v>-18.951710276913275</c:v>
                </c:pt>
                <c:pt idx="2">
                  <c:v>0</c:v>
                </c:pt>
                <c:pt idx="3">
                  <c:v>-14.141917782161769</c:v>
                </c:pt>
                <c:pt idx="4">
                  <c:v>-22.874873963897585</c:v>
                </c:pt>
                <c:pt idx="5">
                  <c:v>37.679248922898836</c:v>
                </c:pt>
                <c:pt idx="6">
                  <c:v>-50.621945801865834</c:v>
                </c:pt>
                <c:pt idx="7">
                  <c:v>74.444997378067995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8603904"/>
        <c:axId val="28605440"/>
        <c:axId val="0"/>
      </c:bar3DChart>
      <c:catAx>
        <c:axId val="2860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605440"/>
        <c:crosses val="autoZero"/>
        <c:auto val="1"/>
        <c:lblAlgn val="ctr"/>
        <c:lblOffset val="100"/>
        <c:noMultiLvlLbl val="0"/>
      </c:catAx>
      <c:valAx>
        <c:axId val="2860544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28603904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5160-9E6A-4D67-BE70-9FE60E5B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</Words>
  <Characters>240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周艳玉</cp:lastModifiedBy>
  <cp:revision>3</cp:revision>
  <cp:lastPrinted>2019-12-16T01:29:00Z</cp:lastPrinted>
  <dcterms:created xsi:type="dcterms:W3CDTF">2020-08-10T09:18:00Z</dcterms:created>
  <dcterms:modified xsi:type="dcterms:W3CDTF">2020-08-10T09:24:00Z</dcterms:modified>
</cp:coreProperties>
</file>