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54" w:rsidRDefault="007C7466" w:rsidP="007C7466">
      <w:pPr>
        <w:jc w:val="center"/>
        <w:rPr>
          <w:rFonts w:ascii="黑体" w:eastAsia="黑体"/>
          <w:sz w:val="32"/>
          <w:szCs w:val="32"/>
        </w:rPr>
      </w:pPr>
      <w:r w:rsidRPr="007C7466">
        <w:rPr>
          <w:rFonts w:ascii="黑体" w:eastAsia="黑体" w:hint="eastAsia"/>
          <w:sz w:val="32"/>
          <w:szCs w:val="32"/>
        </w:rPr>
        <w:t>广西地质矿产勘查开发局统计月报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r w:rsidR="0029037B">
        <w:rPr>
          <w:rFonts w:ascii="黑体" w:eastAsia="黑体" w:hint="eastAsia"/>
          <w:sz w:val="32"/>
          <w:szCs w:val="32"/>
        </w:rPr>
        <w:t>20</w:t>
      </w:r>
      <w:r w:rsidR="00352D52">
        <w:rPr>
          <w:rFonts w:ascii="黑体" w:eastAsia="黑体" w:hint="eastAsia"/>
          <w:sz w:val="32"/>
          <w:szCs w:val="32"/>
        </w:rPr>
        <w:t>20</w:t>
      </w:r>
      <w:r w:rsidR="0029037B">
        <w:rPr>
          <w:rFonts w:ascii="黑体" w:eastAsia="黑体" w:hint="eastAsia"/>
          <w:sz w:val="32"/>
          <w:szCs w:val="32"/>
        </w:rPr>
        <w:t>年</w:t>
      </w:r>
      <w:r w:rsidR="007F4EDB">
        <w:rPr>
          <w:rFonts w:ascii="黑体" w:eastAsia="黑体" w:hint="eastAsia"/>
          <w:sz w:val="32"/>
          <w:szCs w:val="32"/>
        </w:rPr>
        <w:t>5</w:t>
      </w:r>
      <w:r>
        <w:rPr>
          <w:rFonts w:ascii="黑体" w:eastAsia="黑体" w:hint="eastAsia"/>
          <w:sz w:val="32"/>
          <w:szCs w:val="32"/>
        </w:rPr>
        <w:t>月）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</w:p>
    <w:p w:rsidR="007C7466" w:rsidRPr="009B4BCE" w:rsidRDefault="007C7466" w:rsidP="009B4BCE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9B4BCE">
        <w:rPr>
          <w:rFonts w:asciiTheme="minorEastAsia" w:hAnsiTheme="minorEastAsia" w:hint="eastAsia"/>
          <w:sz w:val="28"/>
          <w:szCs w:val="28"/>
        </w:rPr>
        <w:t>主要经济指标完成情况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130"/>
        <w:gridCol w:w="2130"/>
        <w:gridCol w:w="1701"/>
      </w:tblGrid>
      <w:tr w:rsidR="00677EE5" w:rsidRPr="00677EE5" w:rsidTr="00677EE5">
        <w:trPr>
          <w:trHeight w:val="255"/>
        </w:trPr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1A53B8" w:rsidRDefault="00677EE5" w:rsidP="007F4EDB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1A53B8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  <w:r w:rsidR="001A53B8" w:rsidRPr="001A53B8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-</w:t>
            </w:r>
            <w:r w:rsidR="007F4EDB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  <w:r w:rsidR="001A53B8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月累计(万元)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同比增长</w:t>
            </w: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%</w:t>
            </w:r>
          </w:p>
        </w:tc>
      </w:tr>
      <w:tr w:rsidR="00677EE5" w:rsidRPr="00677EE5" w:rsidTr="00165873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一、总产值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FE9" w:rsidRPr="00DA6ABD" w:rsidRDefault="00A23E06" w:rsidP="007D1ED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  <w:r w:rsidR="007D1ED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38516.34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352D52" w:rsidP="007D1ED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7D1ED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18.99</w:t>
            </w:r>
          </w:p>
        </w:tc>
      </w:tr>
      <w:tr w:rsidR="00677EE5" w:rsidRPr="00677EE5" w:rsidTr="00235D74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二、总收入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5BD" w:rsidRPr="00DA6ABD" w:rsidRDefault="00A23E06" w:rsidP="007D1ED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152</w:t>
            </w:r>
            <w:r w:rsidR="007D1ED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262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7D1ED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A23E06" w:rsidP="007D1ED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7D1ED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9.91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  其中：财政资金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E06" w:rsidRPr="00DA6ABD" w:rsidRDefault="007D1ED3" w:rsidP="00A23E06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36589.23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7D1ED3" w:rsidP="007D1ED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A23E06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1.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32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社会资金地勘业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A23E06" w:rsidP="007D1ED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</w:t>
            </w:r>
            <w:r w:rsidR="007D1ED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8816.58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352D52" w:rsidP="007D1ED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7D1ED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18.28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采矿业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456" w:rsidRPr="00DA6ABD" w:rsidRDefault="007D1ED3" w:rsidP="00AE6B2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3884.1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200195" w:rsidP="007D1ED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A23E06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  <w:r w:rsidR="007D1ED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</w:t>
            </w:r>
            <w:r w:rsidR="00A23E06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7D1ED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31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7D1ED3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47103.18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6ABD" w:rsidRPr="00DA6ABD" w:rsidRDefault="00352D52" w:rsidP="007D1ED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7D1ED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27.92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批发和零售业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B8" w:rsidRPr="00DA6ABD" w:rsidRDefault="007D1ED3" w:rsidP="004721B1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345.74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7D1ED3" w:rsidP="00A805DF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41.54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住宿及餐饮业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873" w:rsidRPr="00DA6ABD" w:rsidRDefault="007D1ED3" w:rsidP="0016587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357.87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200195" w:rsidP="007D1ED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352D52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</w:t>
            </w:r>
            <w:r w:rsidR="007D1ED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</w:t>
            </w:r>
            <w:r w:rsidR="00A23E06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7D1ED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03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其它产业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B8" w:rsidRPr="00DA6ABD" w:rsidRDefault="007D1ED3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25165.8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7D1ED3" w:rsidP="00A805DF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87.93</w:t>
            </w:r>
          </w:p>
        </w:tc>
      </w:tr>
    </w:tbl>
    <w:p w:rsidR="009B4BCE" w:rsidRPr="009B4BCE" w:rsidRDefault="009B4BCE" w:rsidP="009B4BCE">
      <w:pPr>
        <w:pStyle w:val="a4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:rsidR="007C7466" w:rsidRDefault="007C7466" w:rsidP="007C74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二、分析图表</w:t>
      </w:r>
    </w:p>
    <w:p w:rsidR="007C7466" w:rsidRDefault="00352D52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drawing>
          <wp:inline distT="0" distB="0" distL="0" distR="0" wp14:anchorId="48A7E4C8" wp14:editId="6F39D0BB">
            <wp:extent cx="4572000" cy="2910840"/>
            <wp:effectExtent l="0" t="0" r="19050" b="2286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21B25" w:rsidRDefault="00621B25" w:rsidP="007C7466">
      <w:pPr>
        <w:rPr>
          <w:rFonts w:ascii="黑体" w:eastAsia="黑体"/>
          <w:sz w:val="32"/>
          <w:szCs w:val="32"/>
        </w:rPr>
      </w:pPr>
    </w:p>
    <w:p w:rsidR="00A97B44" w:rsidRDefault="007D1ED3" w:rsidP="007C7466">
      <w:pPr>
        <w:rPr>
          <w:rFonts w:ascii="黑体" w:eastAsia="黑体"/>
          <w:sz w:val="32"/>
          <w:szCs w:val="32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0BDB0B98" wp14:editId="784F7BAB">
            <wp:extent cx="5274310" cy="2678070"/>
            <wp:effectExtent l="0" t="0" r="21590" b="2730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7E279A" w:rsidRPr="007C7466" w:rsidRDefault="007E279A" w:rsidP="007C7466">
      <w:pPr>
        <w:rPr>
          <w:rFonts w:ascii="黑体" w:eastAsia="黑体"/>
          <w:sz w:val="32"/>
          <w:szCs w:val="32"/>
        </w:rPr>
      </w:pPr>
    </w:p>
    <w:sectPr w:rsidR="007E279A" w:rsidRPr="007C7466" w:rsidSect="00CC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D4B" w:rsidRDefault="00082D4B" w:rsidP="000B6456">
      <w:r>
        <w:separator/>
      </w:r>
    </w:p>
  </w:endnote>
  <w:endnote w:type="continuationSeparator" w:id="0">
    <w:p w:rsidR="00082D4B" w:rsidRDefault="00082D4B" w:rsidP="000B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D4B" w:rsidRDefault="00082D4B" w:rsidP="000B6456">
      <w:r>
        <w:separator/>
      </w:r>
    </w:p>
  </w:footnote>
  <w:footnote w:type="continuationSeparator" w:id="0">
    <w:p w:rsidR="00082D4B" w:rsidRDefault="00082D4B" w:rsidP="000B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6E75"/>
    <w:multiLevelType w:val="hybridMultilevel"/>
    <w:tmpl w:val="6180DD88"/>
    <w:lvl w:ilvl="0" w:tplc="DEAE5A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66"/>
    <w:rsid w:val="00003056"/>
    <w:rsid w:val="00005D61"/>
    <w:rsid w:val="00030E89"/>
    <w:rsid w:val="00064BB7"/>
    <w:rsid w:val="00082D4B"/>
    <w:rsid w:val="000B40D4"/>
    <w:rsid w:val="000B6456"/>
    <w:rsid w:val="000D34EF"/>
    <w:rsid w:val="000E0D6C"/>
    <w:rsid w:val="000E226C"/>
    <w:rsid w:val="000E241C"/>
    <w:rsid w:val="000E7FF5"/>
    <w:rsid w:val="000F0A7C"/>
    <w:rsid w:val="00113584"/>
    <w:rsid w:val="00123065"/>
    <w:rsid w:val="0012640A"/>
    <w:rsid w:val="00146A3B"/>
    <w:rsid w:val="00165873"/>
    <w:rsid w:val="001970E7"/>
    <w:rsid w:val="001A53B8"/>
    <w:rsid w:val="001C5FE9"/>
    <w:rsid w:val="001F119E"/>
    <w:rsid w:val="001F4C66"/>
    <w:rsid w:val="001F5764"/>
    <w:rsid w:val="00200195"/>
    <w:rsid w:val="002059F2"/>
    <w:rsid w:val="00206A46"/>
    <w:rsid w:val="00230916"/>
    <w:rsid w:val="00235D74"/>
    <w:rsid w:val="00265FD4"/>
    <w:rsid w:val="0029037B"/>
    <w:rsid w:val="002A1FFC"/>
    <w:rsid w:val="002A42A2"/>
    <w:rsid w:val="002B1F11"/>
    <w:rsid w:val="002B7031"/>
    <w:rsid w:val="002E2D9E"/>
    <w:rsid w:val="002F057A"/>
    <w:rsid w:val="00302DE4"/>
    <w:rsid w:val="00307176"/>
    <w:rsid w:val="00335DDA"/>
    <w:rsid w:val="00352D52"/>
    <w:rsid w:val="003567D0"/>
    <w:rsid w:val="003D6251"/>
    <w:rsid w:val="003E5C45"/>
    <w:rsid w:val="004E02F3"/>
    <w:rsid w:val="004F0D34"/>
    <w:rsid w:val="004F5ADB"/>
    <w:rsid w:val="004F5D03"/>
    <w:rsid w:val="00501B5E"/>
    <w:rsid w:val="00505F89"/>
    <w:rsid w:val="005378C5"/>
    <w:rsid w:val="00562536"/>
    <w:rsid w:val="00571769"/>
    <w:rsid w:val="00581AE5"/>
    <w:rsid w:val="00582AE9"/>
    <w:rsid w:val="005A623D"/>
    <w:rsid w:val="005B132A"/>
    <w:rsid w:val="005C0768"/>
    <w:rsid w:val="005C4AFD"/>
    <w:rsid w:val="005F033E"/>
    <w:rsid w:val="00621B25"/>
    <w:rsid w:val="00677EE5"/>
    <w:rsid w:val="006A7EC2"/>
    <w:rsid w:val="006B001E"/>
    <w:rsid w:val="006B06A0"/>
    <w:rsid w:val="006D15BD"/>
    <w:rsid w:val="00703E40"/>
    <w:rsid w:val="00705543"/>
    <w:rsid w:val="00717961"/>
    <w:rsid w:val="00740A8E"/>
    <w:rsid w:val="007478DF"/>
    <w:rsid w:val="0075027E"/>
    <w:rsid w:val="007638C3"/>
    <w:rsid w:val="007A2B63"/>
    <w:rsid w:val="007B3206"/>
    <w:rsid w:val="007B4148"/>
    <w:rsid w:val="007B51C8"/>
    <w:rsid w:val="007C1F4C"/>
    <w:rsid w:val="007C7466"/>
    <w:rsid w:val="007D1ED3"/>
    <w:rsid w:val="007E279A"/>
    <w:rsid w:val="007E3C06"/>
    <w:rsid w:val="007E4B79"/>
    <w:rsid w:val="007F2F08"/>
    <w:rsid w:val="007F4EDB"/>
    <w:rsid w:val="007F55CB"/>
    <w:rsid w:val="00805F0F"/>
    <w:rsid w:val="00832616"/>
    <w:rsid w:val="00844400"/>
    <w:rsid w:val="00847772"/>
    <w:rsid w:val="008610BF"/>
    <w:rsid w:val="00863D62"/>
    <w:rsid w:val="0087233A"/>
    <w:rsid w:val="0088163C"/>
    <w:rsid w:val="00900ED0"/>
    <w:rsid w:val="00910F8E"/>
    <w:rsid w:val="009210CD"/>
    <w:rsid w:val="00974C2D"/>
    <w:rsid w:val="009A3FCA"/>
    <w:rsid w:val="009B4BCE"/>
    <w:rsid w:val="009C6309"/>
    <w:rsid w:val="00A02B99"/>
    <w:rsid w:val="00A23E06"/>
    <w:rsid w:val="00A34EDF"/>
    <w:rsid w:val="00A4111C"/>
    <w:rsid w:val="00A64F32"/>
    <w:rsid w:val="00A805DF"/>
    <w:rsid w:val="00A97B44"/>
    <w:rsid w:val="00AE6B23"/>
    <w:rsid w:val="00B13348"/>
    <w:rsid w:val="00B15F69"/>
    <w:rsid w:val="00B25B9C"/>
    <w:rsid w:val="00B30185"/>
    <w:rsid w:val="00B30410"/>
    <w:rsid w:val="00B50636"/>
    <w:rsid w:val="00B513ED"/>
    <w:rsid w:val="00B80222"/>
    <w:rsid w:val="00BA7978"/>
    <w:rsid w:val="00BF7C7A"/>
    <w:rsid w:val="00C40C20"/>
    <w:rsid w:val="00C41B55"/>
    <w:rsid w:val="00C42283"/>
    <w:rsid w:val="00C42F2D"/>
    <w:rsid w:val="00C44E71"/>
    <w:rsid w:val="00C64565"/>
    <w:rsid w:val="00CC785B"/>
    <w:rsid w:val="00CD2A15"/>
    <w:rsid w:val="00D04A71"/>
    <w:rsid w:val="00D27E78"/>
    <w:rsid w:val="00D43057"/>
    <w:rsid w:val="00D51AFC"/>
    <w:rsid w:val="00D54F96"/>
    <w:rsid w:val="00D92AD7"/>
    <w:rsid w:val="00D97C6C"/>
    <w:rsid w:val="00DA44EB"/>
    <w:rsid w:val="00DA6ABD"/>
    <w:rsid w:val="00DD2C6C"/>
    <w:rsid w:val="00DF4B9E"/>
    <w:rsid w:val="00E042C3"/>
    <w:rsid w:val="00E11856"/>
    <w:rsid w:val="00E43035"/>
    <w:rsid w:val="00E60FAF"/>
    <w:rsid w:val="00EC1111"/>
    <w:rsid w:val="00ED244E"/>
    <w:rsid w:val="00EE31A5"/>
    <w:rsid w:val="00EF6D54"/>
    <w:rsid w:val="00F438DF"/>
    <w:rsid w:val="00F731F7"/>
    <w:rsid w:val="00FA4100"/>
    <w:rsid w:val="00FB3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6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600">
                <a:latin typeface="黑体" panose="02010609060101010101" pitchFamily="49" charset="-122"/>
                <a:ea typeface="黑体" panose="02010609060101010101" pitchFamily="49" charset="-122"/>
              </a:rPr>
              <a:t>总收入构成情况</a:t>
            </a:r>
            <a:r>
              <a:rPr lang="en-US" altLang="zh-CN" sz="16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6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027777777777778"/>
          <c:y val="0.34461796442111398"/>
          <c:w val="0.68888888888888888"/>
          <c:h val="0.55057888597258675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</c:spPr>
          </c:dPt>
          <c:dPt>
            <c:idx val="5"/>
            <c:bubble3D val="0"/>
            <c:spPr>
              <a:solidFill>
                <a:schemeClr val="tx1"/>
              </a:solidFill>
            </c:spPr>
          </c:dPt>
          <c:dPt>
            <c:idx val="6"/>
            <c:bubble3D val="0"/>
          </c:dPt>
          <c:dPt>
            <c:idx val="7"/>
            <c:bubble3D val="0"/>
          </c:dPt>
          <c:dLbls>
            <c:dLbl>
              <c:idx val="0"/>
              <c:layout>
                <c:manualLayout>
                  <c:x val="7.6193460192475942E-2"/>
                  <c:y val="6.1928040244969382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财政资金
</a:t>
                    </a:r>
                    <a:r>
                      <a:rPr lang="en-US" altLang="zh-CN"/>
                      <a:t>24%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2.0512576552930883E-2"/>
                  <c:y val="5.0160396617089532E-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社会资金地勘业
</a:t>
                    </a:r>
                    <a:r>
                      <a:rPr lang="en-US" altLang="zh-CN"/>
                      <a:t>25%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zh-CN" altLang="en-US"/>
                      <a:t>制造业
</a:t>
                    </a:r>
                    <a:r>
                      <a:rPr lang="en-US" altLang="zh-CN"/>
                      <a:t>3%</a:t>
                    </a:r>
                    <a:endParaRPr lang="zh-CN" altLang="en-US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5.3556430446194223E-2"/>
                  <c:y val="-1.5456401283172937E-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建筑业
</a:t>
                    </a:r>
                    <a:r>
                      <a:rPr lang="en-US" altLang="zh-CN"/>
                      <a:t>31%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3.4684820647419075E-2"/>
                  <c:y val="5.864355497229512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1.9298993875765537E-2"/>
                  <c:y val="-6.665974044911050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1.460411198600175E-2"/>
                  <c:y val="5.9492563429571301E-4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其它产业
</a:t>
                    </a:r>
                    <a:r>
                      <a:rPr lang="en-US" altLang="zh-CN"/>
                      <a:t>17%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'ZSRWCQKYLB 总收入完成情况一览表'!$A$85:$A$92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总收入完成情况一览表'!$B$85:$B$92</c:f>
              <c:numCache>
                <c:formatCode>0.00_ </c:formatCode>
                <c:ptCount val="8"/>
                <c:pt idx="0">
                  <c:v>21944.3</c:v>
                </c:pt>
                <c:pt idx="1">
                  <c:v>24392.75</c:v>
                </c:pt>
                <c:pt idx="2" formatCode="General">
                  <c:v>0</c:v>
                </c:pt>
                <c:pt idx="3">
                  <c:v>2339.37</c:v>
                </c:pt>
                <c:pt idx="4">
                  <c:v>29083.34</c:v>
                </c:pt>
                <c:pt idx="5">
                  <c:v>176.85</c:v>
                </c:pt>
                <c:pt idx="6">
                  <c:v>163.58000000000001</c:v>
                </c:pt>
                <c:pt idx="7">
                  <c:v>16704.23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400">
                <a:latin typeface="黑体" panose="02010609060101010101" pitchFamily="49" charset="-122"/>
                <a:ea typeface="黑体" panose="02010609060101010101" pitchFamily="49" charset="-122"/>
              </a:rPr>
              <a:t>各产业收入与去年比较增长情况</a:t>
            </a:r>
            <a:r>
              <a:rPr lang="en-US" altLang="zh-CN" sz="14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4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481804784163993"/>
          <c:y val="0.255"/>
          <c:w val="0.85932390745596454"/>
          <c:h val="0.52503135024788572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'ZSRWCQKYLB 总收入完成情况一览表'!$A$82:$A$89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总收入完成情况一览表'!$D$82:$D$89</c:f>
              <c:numCache>
                <c:formatCode>0.00</c:formatCode>
                <c:ptCount val="8"/>
                <c:pt idx="0">
                  <c:v>-1.3187533375406417</c:v>
                </c:pt>
                <c:pt idx="1">
                  <c:v>-18.277632520536073</c:v>
                </c:pt>
                <c:pt idx="2">
                  <c:v>0</c:v>
                </c:pt>
                <c:pt idx="3">
                  <c:v>-13.307725100606433</c:v>
                </c:pt>
                <c:pt idx="4">
                  <c:v>-27.920977343925017</c:v>
                </c:pt>
                <c:pt idx="5">
                  <c:v>41.54009907070045</c:v>
                </c:pt>
                <c:pt idx="6">
                  <c:v>-63.034159341397157</c:v>
                </c:pt>
                <c:pt idx="7">
                  <c:v>87.93448900844092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6969728"/>
        <c:axId val="107835776"/>
        <c:axId val="0"/>
      </c:bar3DChart>
      <c:catAx>
        <c:axId val="106969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7835776"/>
        <c:crosses val="autoZero"/>
        <c:auto val="1"/>
        <c:lblAlgn val="ctr"/>
        <c:lblOffset val="100"/>
        <c:noMultiLvlLbl val="0"/>
      </c:catAx>
      <c:valAx>
        <c:axId val="107835776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106969728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7294E-60E5-4CB3-AB7A-22C4E6FD8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242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胡邕芳</dc:creator>
  <cp:lastModifiedBy>胡邕芳</cp:lastModifiedBy>
  <cp:revision>2</cp:revision>
  <cp:lastPrinted>2019-12-16T01:29:00Z</cp:lastPrinted>
  <dcterms:created xsi:type="dcterms:W3CDTF">2020-07-06T03:35:00Z</dcterms:created>
  <dcterms:modified xsi:type="dcterms:W3CDTF">2020-07-06T03:35:00Z</dcterms:modified>
</cp:coreProperties>
</file>